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21"/>
      </w:tblGrid>
      <w:tr w:rsidR="00DE4402" w14:paraId="60E35BD5" w14:textId="77777777" w:rsidTr="00E302CC">
        <w:trPr>
          <w:jc w:val="right"/>
        </w:trPr>
        <w:tc>
          <w:tcPr>
            <w:tcW w:w="8221" w:type="dxa"/>
          </w:tcPr>
          <w:p w14:paraId="038A04B6" w14:textId="77777777" w:rsidR="0032030C" w:rsidRPr="00FE067A" w:rsidRDefault="00640DDB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>#PROJEKTS#</w:t>
            </w:r>
          </w:p>
        </w:tc>
      </w:tr>
      <w:tr w:rsidR="00DE4402" w14:paraId="7586C921" w14:textId="77777777" w:rsidTr="00FB2B2D">
        <w:trPr>
          <w:jc w:val="right"/>
        </w:trPr>
        <w:tc>
          <w:tcPr>
            <w:tcW w:w="8221" w:type="dxa"/>
          </w:tcPr>
          <w:p w14:paraId="0D46F08B" w14:textId="77777777" w:rsidR="0032030C" w:rsidRPr="00FE067A" w:rsidRDefault="00640DDB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#REG_DATUMS# projekts </w:t>
            </w:r>
            <w:proofErr w:type="spellStart"/>
            <w:r w:rsidRPr="00FE067A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FE067A">
              <w:rPr>
                <w:rFonts w:ascii="Times New Roman" w:eastAsia="Times New Roman" w:hAnsi="Times New Roman" w:cs="Times New Roman"/>
                <w:sz w:val="24"/>
                <w:szCs w:val="24"/>
              </w:rPr>
              <w:t>.#REG_NUMURS#</w:t>
            </w:r>
          </w:p>
        </w:tc>
      </w:tr>
    </w:tbl>
    <w:p w14:paraId="4EDEDF83" w14:textId="77777777" w:rsidR="00FE067A" w:rsidRPr="00FE067A" w:rsidRDefault="00FE067A" w:rsidP="00FE0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318D6A" w14:textId="77777777" w:rsidR="000933F8" w:rsidRPr="007D5BD7" w:rsidRDefault="00640DDB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</w:rPr>
        <w:drawing>
          <wp:inline distT="0" distB="0" distL="0" distR="0" wp14:anchorId="73882995" wp14:editId="49B038A8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AF9C5" w14:textId="77777777" w:rsidR="00C95C98" w:rsidRPr="007D5BD7" w:rsidRDefault="00640DDB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771CC15F" w14:textId="77777777" w:rsidR="00C95C98" w:rsidRPr="007D5BD7" w:rsidRDefault="00640DDB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D5BD7">
        <w:rPr>
          <w:rFonts w:ascii="Times New Roman" w:eastAsia="Times New Roman" w:hAnsi="Times New Roman" w:cs="Times New Roman"/>
        </w:rPr>
        <w:t>Rātslaukums 1, Rīga, LV-1</w:t>
      </w:r>
      <w:r w:rsidR="008F4F10">
        <w:rPr>
          <w:rFonts w:ascii="Times New Roman" w:eastAsia="Times New Roman" w:hAnsi="Times New Roman" w:cs="Times New Roman"/>
        </w:rPr>
        <w:t>050</w:t>
      </w:r>
      <w:r w:rsidRPr="007D5BD7">
        <w:rPr>
          <w:rFonts w:ascii="Times New Roman" w:eastAsia="Times New Roman" w:hAnsi="Times New Roman" w:cs="Times New Roman"/>
        </w:rPr>
        <w:t>, tālrunis 67012222, e-pasts: riga@riga.lv</w:t>
      </w:r>
    </w:p>
    <w:p w14:paraId="25334C4E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3C030A4D" w14:textId="77777777" w:rsidR="00C95C98" w:rsidRPr="007D5BD7" w:rsidRDefault="00640DDB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5BAF0E21" w14:textId="77777777" w:rsidR="00C95C98" w:rsidRPr="007D5BD7" w:rsidRDefault="00640DDB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DE4402" w14:paraId="55A99F2B" w14:textId="77777777" w:rsidTr="00B00798">
        <w:tc>
          <w:tcPr>
            <w:tcW w:w="4327" w:type="dxa"/>
            <w:vAlign w:val="bottom"/>
          </w:tcPr>
          <w:p w14:paraId="65BDDFE1" w14:textId="77777777" w:rsidR="00AB5B49" w:rsidRPr="007D5BD7" w:rsidRDefault="00640DDB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#SEDES_NORISES_DATUMS_V_L#</w:t>
            </w:r>
          </w:p>
        </w:tc>
        <w:tc>
          <w:tcPr>
            <w:tcW w:w="5387" w:type="dxa"/>
            <w:vAlign w:val="bottom"/>
          </w:tcPr>
          <w:p w14:paraId="4042970D" w14:textId="77777777" w:rsidR="00AB5B49" w:rsidRPr="007D5BD7" w:rsidRDefault="00640DDB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Nr.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#LEMUMA_NUMURS#</w:t>
            </w:r>
          </w:p>
        </w:tc>
      </w:tr>
      <w:tr w:rsidR="00DE4402" w14:paraId="77B2EAB3" w14:textId="77777777" w:rsidTr="00B00798">
        <w:tc>
          <w:tcPr>
            <w:tcW w:w="4327" w:type="dxa"/>
            <w:vAlign w:val="bottom"/>
          </w:tcPr>
          <w:p w14:paraId="674C1F77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6E60192E" w14:textId="77777777" w:rsidR="00AB5B49" w:rsidRPr="007D5BD7" w:rsidRDefault="00640DDB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(prot. Nr.</w:t>
            </w:r>
            <w:r w:rsidR="00453A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#SEDES_NR#, §)</w:t>
            </w:r>
          </w:p>
        </w:tc>
      </w:tr>
    </w:tbl>
    <w:p w14:paraId="25E2D1EF" w14:textId="77777777" w:rsidR="00AB5B49" w:rsidRDefault="00AB5B49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99C8FE0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564833E1" w14:textId="77777777" w:rsidR="00C95C98" w:rsidRPr="007D5BD7" w:rsidRDefault="00640DDB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Par pašvaldības atbalstu kvalificētam speciālistam, sedzot dzīvojamo telpu īres maksu un ar dzīvojamās telpas lietošanu saistītos maksājumus</w:t>
      </w:r>
    </w:p>
    <w:p w14:paraId="2AFB1EB9" w14:textId="77777777" w:rsidR="008F6454" w:rsidRDefault="008F6454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ED66CD4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31A081E" w14:textId="77777777" w:rsidR="00675DDB" w:rsidRPr="0081383C" w:rsidRDefault="00640DDB" w:rsidP="00675DDB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w:t>Izdoti saskaņā ar likuma “Par palīdzību dzīvokļa jautājumu risināšanā” 27.</w:t>
      </w:r>
      <w:r w:rsidRPr="0081383C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eastAsia="lv-LV"/>
        </w:rPr>
        <w:t>1</w:t>
      </w:r>
      <w:r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w:t> </w:t>
      </w:r>
      <w:r w:rsidRPr="0081383C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w:t>panta piekto daļu</w:t>
      </w:r>
    </w:p>
    <w:p w14:paraId="18B60732" w14:textId="77777777" w:rsidR="00675DDB" w:rsidRPr="0081383C" w:rsidRDefault="00675DDB" w:rsidP="00675DD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</w:p>
    <w:p w14:paraId="1A3EC7A9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757E553D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1. Saistošie noteikumi (turpmāk – noteikumi) nosaka kārtību, kādā Rīgas valstspilsētas pašvaldība (turpmāk – pašvaldība) sniedz atbalstu – palīdzību kvalificētam speciālistam, sedzot dzīvojamo telpu īres maksu un ar dzīvojamās telpas lietošanu saistītos maksājumus vai ar naktsmītnes izmantošanu saistītos maksājumus (turpmāk – atbalsts). </w:t>
      </w:r>
    </w:p>
    <w:p w14:paraId="0A9903DE" w14:textId="77777777" w:rsidR="00675DDB" w:rsidRPr="0081383C" w:rsidRDefault="00675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</w:p>
    <w:p w14:paraId="2B36151F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2. Noteikumu mērķis ir nodrošināt kvalificētu speciālistu – pedagogu</w:t>
      </w: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, policistu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 (turpmāk – </w:t>
      </w: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speciālists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) piesaisti un noturēšanu pašvaldīb</w:t>
      </w: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ā,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kas sekmētu pašvaldības funkciju veiksmīgu īstenošanu.</w:t>
      </w:r>
    </w:p>
    <w:p w14:paraId="54D505F3" w14:textId="77777777" w:rsidR="00675DDB" w:rsidRPr="0081383C" w:rsidRDefault="00675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</w:p>
    <w:p w14:paraId="0B522441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</w:pPr>
      <w:bookmarkStart w:id="0" w:name="_Hlk181103985"/>
      <w:r w:rsidRPr="0081383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  <w:t>3. Pašvaldība sniedz atbalstu:</w:t>
      </w:r>
    </w:p>
    <w:p w14:paraId="69459772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  <w:t>3.1. dzīvojamās telpas īres maksas un ar dzīvojamās telpas lietošanu saistīto maksājumu segšanai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 pašvaldības administratīvajā teritorijā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  <w:t>;</w:t>
      </w:r>
    </w:p>
    <w:p w14:paraId="2DCFD558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  <w:t xml:space="preserve">3.2. </w:t>
      </w:r>
      <w:r w:rsidRPr="0022679B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  <w:t>ar naktsmītnes izmantošanu saistīto maksājumu segšanai pašvaldības administratīvajā teritorijā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lv-LV"/>
        </w:rPr>
        <w:t>.</w:t>
      </w:r>
    </w:p>
    <w:bookmarkEnd w:id="0"/>
    <w:p w14:paraId="19385E26" w14:textId="77777777" w:rsidR="00675DDB" w:rsidRPr="0081383C" w:rsidRDefault="00675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</w:p>
    <w:p w14:paraId="22808EBB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4. Pedagogs var pieteikties uz</w:t>
      </w:r>
      <w:bookmarkStart w:id="1" w:name="_Hlk187413052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noteikumu 3.1.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apakšpunktā minēto atbalstu, ja atbalsta pieprasīšanas brīdī pedagogs </w:t>
      </w:r>
      <w:bookmarkStart w:id="2" w:name="_Hlk187414263"/>
      <w:bookmarkEnd w:id="1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ir darba tiesiskajās attiecībās ar pašvaldības izglītības iestādi pirmo reizi un tās uzsāktas ne agrāk par 2024.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gada 1.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augustu</w:t>
      </w:r>
      <w:r w:rsidRPr="0022679B">
        <w:rPr>
          <w:rFonts w:ascii="Times New Roman" w:eastAsia="Calibri" w:hAnsi="Times New Roman" w:cs="Times New Roman"/>
          <w:kern w:val="2"/>
          <w:sz w:val="26"/>
          <w:szCs w:val="26"/>
          <w:lang w:eastAsia="lv-LV"/>
          <w14:ligatures w14:val="standardContextual"/>
        </w:rPr>
        <w:t xml:space="preserve"> vai pedagogs ne mazāk kā pirms trīs gadiem pārtraucis darba tiesiskās attiecības ar pašvaldības izglītības iestādi, </w:t>
      </w:r>
      <w:r w:rsidRPr="004D0F2F">
        <w:rPr>
          <w:rFonts w:ascii="Times New Roman" w:eastAsia="Calibri" w:hAnsi="Times New Roman" w:cs="Times New Roman"/>
          <w:kern w:val="2"/>
          <w:sz w:val="26"/>
          <w:szCs w:val="26"/>
          <w:lang w:eastAsia="lv-LV"/>
          <w14:ligatures w14:val="standardContextual"/>
        </w:rPr>
        <w:t>jo pārcēlies uz citu dzīvesvietu ārpus pašvaldības administratīvās teritorijas</w:t>
      </w:r>
      <w:r w:rsidRPr="004D0F2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, pedagogs tiek </w:t>
      </w:r>
      <w:r w:rsidRPr="004D0F2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lastRenderedPageBreak/>
        <w:t>nodarbināts ne mazāk kā ar 0,5 slodzi vienā vai vairākās izglītības iestādēs un ir beidzies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nolīgtais pārbaudes laiks.</w:t>
      </w:r>
      <w:bookmarkEnd w:id="2"/>
    </w:p>
    <w:p w14:paraId="38F054E1" w14:textId="77777777" w:rsidR="00675DDB" w:rsidRPr="0081383C" w:rsidRDefault="00675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76F5175F" w14:textId="77777777" w:rsidR="00675DDB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5. Pedagogs var pieteikties uz noteikumu 3.2.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apakšpunktā minēto atbalstu, ja  atbalsta pieprasīšanas brīdī pedagogs ir darba tiesiskajās attiecībās ar pašvaldības izglītības iestādi un tās uzsāktas ne agrāk par 2024.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gada 1.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augustu, neatkarīgi no nodarbinātības slodzes vienā vai vairākās izglītības iestādēs un ir beidzies nolīgtais pārbaudes laiks.</w:t>
      </w:r>
    </w:p>
    <w:p w14:paraId="338E9D56" w14:textId="77777777" w:rsidR="00675DDB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0136AF9B" w14:textId="77777777" w:rsidR="00675DDB" w:rsidRPr="004D0F2F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lv-LV"/>
        </w:rPr>
      </w:pPr>
      <w:r w:rsidRPr="004D0F2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lv-LV"/>
        </w:rPr>
        <w:t>6. Policists var pieteikties uz noteikumu 3.1</w:t>
      </w: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lv-LV"/>
        </w:rPr>
        <w:t>.</w:t>
      </w:r>
      <w:r w:rsidRPr="004D0F2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lv-LV"/>
        </w:rPr>
        <w:t xml:space="preserve"> un 3.2. apakšpunktā minēto atbalstu, ja  atbalsta pieprasīšanas brīdī policists ir darba tiesiskajās attiecībās ar Rīgas valstspilsētas pašvaldības policiju un tās uzsāktas ne agrāk par 2024. gada 1.</w:t>
      </w: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lv-LV"/>
        </w:rPr>
        <w:t xml:space="preserve"> </w:t>
      </w:r>
      <w:r w:rsidRPr="004D0F2F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lv-LV"/>
        </w:rPr>
        <w:t>janvāri, kā arī ir sekmīgi apguvis kārtībnieka amata sākotnējās profesionālās apmācības programmu.</w:t>
      </w:r>
    </w:p>
    <w:p w14:paraId="29FB8C1A" w14:textId="77777777" w:rsidR="00675DDB" w:rsidRPr="00DA667F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lv-LV"/>
        </w:rPr>
      </w:pPr>
    </w:p>
    <w:p w14:paraId="323A7D2A" w14:textId="77777777" w:rsidR="00675DDB" w:rsidRPr="0081383C" w:rsidRDefault="00640DDB" w:rsidP="00675DD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7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. Atbalstu </w:t>
      </w: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speciālistam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 ir tiesības saņemt, kamēr tas veic darbu </w:t>
      </w: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>pašvaldībā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 un tam īpašumā nav dzīvojamā telpa pašvaldības administratīvajā teritorijā.</w:t>
      </w:r>
    </w:p>
    <w:p w14:paraId="08E090B0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2A1B524B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8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Lai pieteiktos atbalsta saņemšanai,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iesniedz pašvaldības Mājokļu un vides departamentā (turpmāk </w:t>
      </w:r>
      <w:bookmarkStart w:id="3" w:name="_Hlk187416539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– </w:t>
      </w:r>
      <w:bookmarkEnd w:id="3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Departaments):</w:t>
      </w:r>
    </w:p>
    <w:p w14:paraId="7530D8BA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8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.1. iesniegumu;</w:t>
      </w:r>
    </w:p>
    <w:p w14:paraId="6DF75915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8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.2. dzīvojamās telpas īres līgumu </w:t>
      </w:r>
      <w:bookmarkStart w:id="4" w:name="_Hlk192681605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(ja dzīvojamā telpa jau tiek īrēta)</w:t>
      </w:r>
      <w:bookmarkEnd w:id="4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</w:t>
      </w:r>
      <w:bookmarkStart w:id="5" w:name="_Hlk193107945"/>
      <w:bookmarkStart w:id="6" w:name="_Hlk192163365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noteikumu 3.1. apakšpunktā minēt</w:t>
      </w:r>
      <w:r w:rsidR="006676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ā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atbalsta</w:t>
      </w:r>
      <w:bookmarkEnd w:id="5"/>
      <w:r w:rsidR="006676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saņemšanai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</w:t>
      </w:r>
      <w:bookmarkEnd w:id="6"/>
    </w:p>
    <w:p w14:paraId="45216673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2D64324E" w14:textId="77777777" w:rsidR="00675DDB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9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atbalsta saņemšanai tiek reģistrēts palīdzības dzīvokļa jautājumu risināšanā reģistrā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: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“Atbalsts pedagogam mājokļa maksājuma kompensēšanai” (11. reģistrs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) vai </w:t>
      </w:r>
      <w:r w:rsidRPr="0052140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“Atbalsts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policistam</w:t>
      </w:r>
      <w:r w:rsidRPr="0052140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mājokļa maksājuma kompensēšanai” (1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 w:rsidRPr="0052140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reģistrs)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(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turpmāk– reģistrs).</w:t>
      </w:r>
    </w:p>
    <w:p w14:paraId="77EA9CB8" w14:textId="77777777" w:rsidR="00675DDB" w:rsidRPr="0081383C" w:rsidRDefault="00675DDB" w:rsidP="00675D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7E8B3C7F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10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Departaments izveido un uztur reģistru. </w:t>
      </w:r>
    </w:p>
    <w:p w14:paraId="3E9CC581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1F51B8F6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Lēmumu par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spciālista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reģistrāciju reģistrā, par atteikumu reģistrēt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speciālistu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reģistrā, kā arī lēmumu par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speciālista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izslēgšanu no reģistra pieņem Departamenta Dzīvokļu pārvaldes komisija personu reģistrācijai palīdzības saņemšanai (turpmāk – Reģistrācijas komisija).</w:t>
      </w:r>
    </w:p>
    <w:p w14:paraId="1D3179B4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noProof/>
          <w:color w:val="000000"/>
          <w:sz w:val="26"/>
          <w:szCs w:val="26"/>
          <w:lang w:eastAsia="lv-LV"/>
        </w:rPr>
      </w:pPr>
    </w:p>
    <w:p w14:paraId="0E16BB0C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Reģistrācijas komisija pieņem lēmumu izslēgt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speciālistu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no reģistra pirms lēmuma pieņemšanas par atbalsta piešķiršanu, ja:</w:t>
      </w:r>
    </w:p>
    <w:p w14:paraId="191267DF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.1. ir izbeigtas darba tiesiskās attiecības ar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speciālistu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;</w:t>
      </w:r>
    </w:p>
    <w:p w14:paraId="72278570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.2.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atsakās no atbalsta saņemšanas, iesniedzot par to attiecīgu iesniegumu;</w:t>
      </w:r>
    </w:p>
    <w:p w14:paraId="71371910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.3.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speciālistam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īpašumā ir dzīvojamā telpa pašvaldības administratīvajā teritorijā.</w:t>
      </w:r>
    </w:p>
    <w:p w14:paraId="69C972EC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</w:p>
    <w:p w14:paraId="704AA82A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 Noteikumu 3.1.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apakšpunktā minētais atbalsts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11.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reģistrā reģistrētajām personām tiek piešķirts reģistrācijas secībā šādās proporcijās (kopā 10 personas): 4; 3; 2; 1, ievērojot šādu secību:</w:t>
      </w:r>
    </w:p>
    <w:p w14:paraId="7B224AB1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.1. </w:t>
      </w:r>
      <w:bookmarkStart w:id="7" w:name="_Hlk192237825"/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pedagogiem, kas nodrošina valodas mācību jomas mācību priekšmetu </w:t>
      </w:r>
      <w:bookmarkEnd w:id="7"/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(4 pedagogiem no 10), ja tādu nav 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–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noteikumu 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.2.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apakšpunktā minētajiem pedagogiem;</w:t>
      </w:r>
    </w:p>
    <w:p w14:paraId="6D9856D1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lastRenderedPageBreak/>
        <w:t>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.2. pedagogiem, kas nodrošina matemātikas un dabaszinātņu mācību jomas mācību priekšmetu (3 pedagogiem no 10), ja tādu nav 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–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noteikumu 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.3.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apakšpunktā minētajiem pedagogiem;</w:t>
      </w:r>
    </w:p>
    <w:p w14:paraId="08478D22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.3. pedagogiem, kas nodrošina citu mācību jomu mācību priekšmetu (2 pedagogiem no 10), ja tādu nav 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–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noteikumu 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4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apakšpunktā minētajiem pedagogiem;</w:t>
      </w:r>
    </w:p>
    <w:p w14:paraId="3BFE18E9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.4. atbalsta personāla pedagogiem </w:t>
      </w:r>
      <w:r w:rsidRPr="00B23D9E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(1 pedagogam no 10, bet ne vairāk kā 3 pedagogiem no 10)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, ja tādu nav 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–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noteikumu 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.1.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apakšpunktā minētajiem pedagogiem.</w:t>
      </w:r>
    </w:p>
    <w:p w14:paraId="1E0E6808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</w:p>
    <w:p w14:paraId="29B9B607" w14:textId="77777777" w:rsidR="00675DDB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4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. 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Noteikumu 3.2.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apakšpunktā minētais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atbalsts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11. </w:t>
      </w:r>
      <w:r w:rsidRPr="0081383C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reģistrā reģistrētajām personām tiek piešķirts reģistrācijas secībā.</w:t>
      </w:r>
    </w:p>
    <w:p w14:paraId="5488EA15" w14:textId="77777777" w:rsidR="00675DDB" w:rsidRDefault="00675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</w:p>
    <w:p w14:paraId="238902AB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15. </w:t>
      </w:r>
      <w:r w:rsidRPr="00300451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Noteikumu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 xml:space="preserve">3.1. un </w:t>
      </w:r>
      <w:r w:rsidRPr="00300451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3.2. apakšpunktā minētais atbalsts 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2</w:t>
      </w:r>
      <w:r w:rsidRPr="00300451"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 reģistrā reģistrētajām personām tiek piešķirts reģistrācijas secībā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lv-LV"/>
        </w:rPr>
        <w:t>.</w:t>
      </w:r>
    </w:p>
    <w:p w14:paraId="5A382832" w14:textId="77777777" w:rsidR="00675DDB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376AEA58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6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Lēmumu par atbalsta piešķiršanu vai atteikumu piešķirt atbalstu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speciālistam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pieņem Departamenta </w:t>
      </w:r>
      <w:bookmarkStart w:id="8" w:name="_Hlk182991193"/>
      <w:bookmarkStart w:id="9" w:name="_Hlk182401201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direktor</w:t>
      </w:r>
      <w:bookmarkEnd w:id="8"/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</w:t>
      </w:r>
      <w:bookmarkEnd w:id="9"/>
    </w:p>
    <w:p w14:paraId="1BAD0631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57D33F92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7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Pēc lēmuma par noteikumu 3.1.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apakšpunktā minētā atbalsta piešķiršanu saņemšanas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speciālistam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ir pienākums viena mēneša laikā iesniegt Departamentā dzīvojamās telpas īres līgumu, ja tas jau nav iesniegts, piesakoties atbalsta saņemšanai.</w:t>
      </w:r>
    </w:p>
    <w:p w14:paraId="5E3A9F9A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0A09AF70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8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</w:t>
      </w:r>
      <w:bookmarkStart w:id="10" w:name="_Hlk196470336"/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Pēc lēmuma pieņemšanas par noteikumu 3.1. un 3.2.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apakšpunktā minētā atbalsta piešķiršanu </w:t>
      </w:r>
      <w:bookmarkEnd w:id="10"/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spciālists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tiek uzaicināts noslēgt līgumu </w:t>
      </w:r>
      <w:bookmarkStart w:id="11" w:name="_Hlk193107699"/>
      <w:r w:rsidRPr="0081383C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par </w:t>
      </w:r>
      <w:r w:rsidRPr="0081383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pašvaldības atbalstu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speciālistam</w:t>
      </w:r>
      <w:r w:rsidRPr="0081383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, </w:t>
      </w:r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sedzot dzīvojamo telpu īres maksu un ar dzīvojamās telpas lietošanu saistītos maksājumus </w:t>
      </w:r>
      <w:bookmarkEnd w:id="11"/>
      <w:r w:rsidRPr="0081383C">
        <w:rPr>
          <w:rFonts w:ascii="Times New Roman" w:eastAsia="Calibri" w:hAnsi="Times New Roman" w:cs="Times New Roman"/>
          <w:noProof/>
          <w:color w:val="000000"/>
          <w:sz w:val="26"/>
          <w:szCs w:val="26"/>
          <w:lang w:eastAsia="lv-LV"/>
        </w:rPr>
        <w:t xml:space="preserve">vai ar naktsmītnes izmantošanu saistītos maksājumus (turpmāk – Līgums). </w:t>
      </w:r>
    </w:p>
    <w:p w14:paraId="309C2305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70F84DA8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9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Līgumu pašvaldības vārdā noslēdz un Līgumā noteiktās pašvaldības tiesības un pienākumus īsteno Departamenta direktor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</w:t>
      </w:r>
    </w:p>
    <w:p w14:paraId="00C813E1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16AF5D4E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20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Līgumu ar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speciālistu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slēdz uz darba tiesisko attiecību laiku, bet ne ilgāk </w:t>
      </w:r>
      <w:r w:rsidR="0018073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kā uz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diviem gadiem.</w:t>
      </w:r>
    </w:p>
    <w:p w14:paraId="609B4683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3FECF861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21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Speciālistam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ir pienākums 10 dienu laikā no Līguma noslēgšanas brīža deklarēt savu dzīvesvietu īrētās dzīvojamās telpas adresē.</w:t>
      </w:r>
    </w:p>
    <w:p w14:paraId="010168E0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2E20FF5D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Atbalsta apmērs ir līdz 250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 </w:t>
      </w:r>
      <w:r w:rsidRPr="0081383C">
        <w:rPr>
          <w:rFonts w:ascii="Times New Roman" w:eastAsia="Times New Roman" w:hAnsi="Times New Roman" w:cs="Times New Roman"/>
          <w:i/>
          <w:iCs/>
          <w:noProof/>
          <w:color w:val="000000"/>
          <w:sz w:val="26"/>
          <w:szCs w:val="26"/>
          <w:lang w:eastAsia="lv-LV"/>
        </w:rPr>
        <w:t>euro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mēnesī, bet ne vairāk kā faktiskie izdevumi.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</w:t>
      </w:r>
      <w:r w:rsidRPr="009F1C1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Ja speciālista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aizgādībā un/vai aizbildnībā ir</w:t>
      </w:r>
      <w:r w:rsidRPr="009F1C1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bērni, par katru bērnu piešķir papildu atbalstu 30 </w:t>
      </w:r>
      <w:r w:rsidRPr="009F1C15">
        <w:rPr>
          <w:rFonts w:ascii="Times New Roman" w:eastAsia="Times New Roman" w:hAnsi="Times New Roman" w:cs="Times New Roman"/>
          <w:i/>
          <w:iCs/>
          <w:noProof/>
          <w:color w:val="000000"/>
          <w:sz w:val="26"/>
          <w:szCs w:val="26"/>
          <w:lang w:eastAsia="lv-LV"/>
        </w:rPr>
        <w:t>euro</w:t>
      </w:r>
      <w:r w:rsidRPr="009F1C1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mēnesī.</w:t>
      </w:r>
    </w:p>
    <w:p w14:paraId="42F17026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43682D38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3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Atbalsts tiek izmaksāts vienu reizi mēnesī.</w:t>
      </w:r>
    </w:p>
    <w:p w14:paraId="0E9BA38D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03DE0269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4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Lai saņemtu noteikumu 3.1.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 vai 3.2. 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apakšpunktā minēto atbalstu, 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speciālists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iesniedz Departamentā:</w:t>
      </w:r>
    </w:p>
    <w:p w14:paraId="770F33BC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4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.1. iesniegumu;</w:t>
      </w:r>
    </w:p>
    <w:p w14:paraId="1D4098FA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4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.2. rēķinu un maksājumu apliecinošu dokumentu.</w:t>
      </w:r>
    </w:p>
    <w:p w14:paraId="52397507" w14:textId="77777777" w:rsidR="00675DDB" w:rsidRPr="0081383C" w:rsidRDefault="00675DDB" w:rsidP="00675D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014B6EF4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5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</w:t>
      </w:r>
      <w:r w:rsidR="0018073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Speciālistam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 nav tiesību saņemt noteikumos minēto atbalstu atkārtoti.</w:t>
      </w:r>
    </w:p>
    <w:p w14:paraId="45EC3F36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1341D9C8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6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. Departaments atbalstu piešķir kārtējā kalendārajā gadā Departamenta budžetā paredzēto finanšu līdzekļu ietvaros.</w:t>
      </w:r>
    </w:p>
    <w:p w14:paraId="604C8075" w14:textId="77777777" w:rsidR="00675DDB" w:rsidRPr="0081383C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</w:pPr>
    </w:p>
    <w:p w14:paraId="71E8E82F" w14:textId="77777777" w:rsidR="00675DDB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>7</w:t>
      </w:r>
      <w:r w:rsidRPr="0081383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lv-LV"/>
        </w:rPr>
        <w:t xml:space="preserve">. </w:t>
      </w:r>
      <w:r w:rsidRPr="0081383C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Reģistrācijas komisijas izdoto administratīvo aktu vai faktisko rīcību var apstrīdēt Departamenta direktoram.</w:t>
      </w:r>
    </w:p>
    <w:p w14:paraId="0F20518E" w14:textId="77777777" w:rsidR="00675DDB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14:paraId="65E57F70" w14:textId="77777777" w:rsidR="00675DDB" w:rsidRPr="0081383C" w:rsidRDefault="00640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28. 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Atzīt par spēku zaudējušiem Rīgas domes 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25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. gada 2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1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maija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saistošos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noteikumus Nr. RD-25-339-sn “Par pašvaldības atbalstu kvalificētam speciālistam, sedzot dzīvojamo telpu īres maksu un ar dzīvojamās telpas lietošanu saistītos maksājumus” (Latvijas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Vēstnesis, 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25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, Nr.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105</w:t>
      </w:r>
      <w:r w:rsidRPr="007C1196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).</w:t>
      </w:r>
    </w:p>
    <w:p w14:paraId="3056D723" w14:textId="77777777" w:rsidR="00675DDB" w:rsidRDefault="00675DDB" w:rsidP="0067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14:paraId="0E881F54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726832E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B832EE3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20"/>
        <w:gridCol w:w="4995"/>
      </w:tblGrid>
      <w:tr w:rsidR="00DE4402" w14:paraId="13F966BB" w14:textId="77777777" w:rsidTr="00C5597E"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A96A1" w14:textId="77777777" w:rsidR="00AA2B5E" w:rsidRPr="00AA2B5E" w:rsidRDefault="00640DDB" w:rsidP="00CA1180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#LEMUMA_PARAKSTITAJA1_AMATS#</w:t>
            </w:r>
          </w:p>
        </w:tc>
        <w:tc>
          <w:tcPr>
            <w:tcW w:w="499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6161FF" w14:textId="77777777" w:rsidR="00AA2B5E" w:rsidRPr="00AA2B5E" w:rsidRDefault="00640DDB" w:rsidP="00CA1180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#LEMUMA_PARAKSTITAJA1_V_UZV#</w:t>
            </w:r>
          </w:p>
        </w:tc>
      </w:tr>
    </w:tbl>
    <w:p w14:paraId="61E6C768" w14:textId="77777777" w:rsidR="007D5BD7" w:rsidRPr="007D5BD7" w:rsidRDefault="007D5BD7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6D7CD8D0" w14:textId="77777777" w:rsidR="00DC4851" w:rsidRPr="007D5BD7" w:rsidRDefault="00640DDB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  <w:sz w:val="26"/>
          <w:szCs w:val="26"/>
        </w:rPr>
        <w:t>Projektu paraksta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5199"/>
        <w:gridCol w:w="4632"/>
      </w:tblGrid>
      <w:tr w:rsidR="00DE4402" w14:paraId="619B3A4A" w14:textId="77777777" w:rsidTr="006677FD">
        <w:tc>
          <w:tcPr>
            <w:tcW w:w="519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6A350" w14:textId="77777777" w:rsidR="00770872" w:rsidRPr="007D5BD7" w:rsidRDefault="00640DDB" w:rsidP="006677F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#PARAKSTITAJA1_STV_AMATS_PILNAIS#</w:t>
            </w:r>
          </w:p>
        </w:tc>
        <w:tc>
          <w:tcPr>
            <w:tcW w:w="463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428BA" w14:textId="77777777" w:rsidR="00770872" w:rsidRPr="007D5BD7" w:rsidRDefault="00640DDB" w:rsidP="006677F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#PARAKST_V_UZV#</w:t>
            </w:r>
          </w:p>
        </w:tc>
      </w:tr>
    </w:tbl>
    <w:p w14:paraId="1B18171B" w14:textId="77777777" w:rsidR="006677FD" w:rsidRDefault="006677FD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063B21B5" w14:textId="77777777" w:rsidR="006677FD" w:rsidRDefault="00640DDB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7D5BD7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Iesniedz </w:t>
      </w:r>
    </w:p>
    <w:p w14:paraId="2588C764" w14:textId="77777777" w:rsidR="005D1A96" w:rsidRDefault="005D1A96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0B56085F" w14:textId="77777777" w:rsidR="005D1A96" w:rsidRPr="007D5BD7" w:rsidRDefault="005D1A96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DE4402" w14:paraId="53FB6CD3" w14:textId="77777777" w:rsidTr="005D1A96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CB19" w14:textId="77777777" w:rsidR="005D1A96" w:rsidRDefault="0000000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21315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DDB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640DDB">
              <w:rPr>
                <w:rFonts w:ascii="Times New Roman" w:hAnsi="Times New Roman" w:cs="Times New Roman"/>
                <w:sz w:val="26"/>
                <w:szCs w:val="26"/>
              </w:rPr>
              <w:t xml:space="preserve">Saistošo noteikumu projekts ir jānosūta VARAM    </w:t>
            </w:r>
          </w:p>
        </w:tc>
      </w:tr>
      <w:tr w:rsidR="00DE4402" w14:paraId="39ECF868" w14:textId="77777777" w:rsidTr="005D1A96">
        <w:tc>
          <w:tcPr>
            <w:tcW w:w="9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C679" w14:textId="77777777" w:rsidR="005D1A96" w:rsidRDefault="0000000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183348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DDB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640DDB">
              <w:rPr>
                <w:rFonts w:ascii="Times New Roman" w:hAnsi="Times New Roman" w:cs="Times New Roman"/>
                <w:sz w:val="26"/>
                <w:szCs w:val="26"/>
              </w:rPr>
              <w:t xml:space="preserve">Saistošo noteikumu projekts ir jānosūta AIC paziņošanai </w:t>
            </w:r>
            <w:r w:rsidR="00640DD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Iekšējā tirgus informācijas sistēmā</w:t>
            </w:r>
          </w:p>
        </w:tc>
      </w:tr>
    </w:tbl>
    <w:p w14:paraId="53028FB6" w14:textId="77777777" w:rsidR="00770872" w:rsidRPr="00BF6617" w:rsidRDefault="00770872" w:rsidP="0077087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14:paraId="24502278" w14:textId="77777777" w:rsidR="00675DDB" w:rsidRDefault="00640DDB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5DDB">
        <w:rPr>
          <w:rFonts w:ascii="Times New Roman" w:hAnsi="Times New Roman" w:cs="Times New Roman"/>
          <w:sz w:val="26"/>
          <w:szCs w:val="26"/>
        </w:rPr>
        <w:t>Ivbule 67105890</w:t>
      </w:r>
    </w:p>
    <w:p w14:paraId="314717E8" w14:textId="77777777" w:rsidR="00770872" w:rsidRPr="00BF6617" w:rsidRDefault="00640DDB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6617">
        <w:rPr>
          <w:rFonts w:ascii="Times New Roman" w:hAnsi="Times New Roman" w:cs="Times New Roman"/>
          <w:sz w:val="26"/>
          <w:szCs w:val="26"/>
        </w:rPr>
        <w:t>Libere-Igaune</w:t>
      </w:r>
      <w:r w:rsidR="00BF6617">
        <w:rPr>
          <w:rFonts w:ascii="Times New Roman" w:hAnsi="Times New Roman" w:cs="Times New Roman"/>
          <w:sz w:val="26"/>
          <w:szCs w:val="26"/>
        </w:rPr>
        <w:t xml:space="preserve"> </w:t>
      </w:r>
      <w:r w:rsidRPr="00BF6617">
        <w:rPr>
          <w:rFonts w:ascii="Times New Roman" w:hAnsi="Times New Roman" w:cs="Times New Roman"/>
          <w:sz w:val="26"/>
          <w:szCs w:val="26"/>
        </w:rPr>
        <w:t xml:space="preserve">67848858 </w:t>
      </w:r>
    </w:p>
    <w:p w14:paraId="0F6CEF9C" w14:textId="77777777" w:rsidR="00770872" w:rsidRPr="00BF6617" w:rsidRDefault="00640DDB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5DDB" w:rsidRPr="00BF6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30DC5B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2A82811A" w14:textId="77777777" w:rsidR="00B00798" w:rsidRPr="007D5BD7" w:rsidRDefault="00640DDB" w:rsidP="00770872">
      <w:pPr>
        <w:keepNext/>
        <w:spacing w:before="60" w:after="60"/>
        <w:rPr>
          <w:rFonts w:ascii="Times New Roman" w:hAnsi="Times New Roman" w:cs="Times New Roman"/>
        </w:rPr>
      </w:pPr>
      <w:r w:rsidRPr="007D5BD7">
        <w:rPr>
          <w:rFonts w:ascii="Times New Roman" w:hAnsi="Times New Roman" w:cs="Times New Roman"/>
          <w:color w:val="000000"/>
        </w:rPr>
        <w:t>#VISU_SASKANOTAJU_TABULA_STV#</w:t>
      </w:r>
    </w:p>
    <w:p w14:paraId="6B9F8774" w14:textId="77777777" w:rsidR="00B00798" w:rsidRPr="007D5BD7" w:rsidRDefault="00640DDB" w:rsidP="00B00798">
      <w:pPr>
        <w:rPr>
          <w:rFonts w:ascii="Times New Roman" w:hAnsi="Times New Roman" w:cs="Times New Roman"/>
          <w:i/>
          <w:sz w:val="20"/>
          <w:szCs w:val="26"/>
        </w:rPr>
      </w:pPr>
      <w:r w:rsidRPr="007D5BD7">
        <w:rPr>
          <w:rFonts w:ascii="Times New Roman" w:hAnsi="Times New Roman" w:cs="Times New Roman"/>
          <w:i/>
          <w:sz w:val="20"/>
          <w:szCs w:val="20"/>
        </w:rPr>
        <w:t xml:space="preserve">*Saraksts ir pievienots automātiski </w:t>
      </w:r>
      <w:r w:rsidRPr="007D5BD7">
        <w:rPr>
          <w:rFonts w:ascii="Times New Roman" w:hAnsi="Times New Roman" w:cs="Times New Roman"/>
          <w:i/>
          <w:sz w:val="20"/>
          <w:szCs w:val="26"/>
        </w:rPr>
        <w:t>no sistēmas ELISS dokumentu apstrādes plūsmas</w:t>
      </w:r>
    </w:p>
    <w:p w14:paraId="621C5224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B00798" w:rsidRPr="007D5BD7" w:rsidSect="00C5597E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710AA"/>
    <w:rsid w:val="000747C4"/>
    <w:rsid w:val="00092AE8"/>
    <w:rsid w:val="000933F8"/>
    <w:rsid w:val="000F04C2"/>
    <w:rsid w:val="0015286F"/>
    <w:rsid w:val="0018073F"/>
    <w:rsid w:val="00193F1F"/>
    <w:rsid w:val="001E6E17"/>
    <w:rsid w:val="0022679B"/>
    <w:rsid w:val="0027126E"/>
    <w:rsid w:val="002B47FF"/>
    <w:rsid w:val="00300451"/>
    <w:rsid w:val="0032030C"/>
    <w:rsid w:val="0039097C"/>
    <w:rsid w:val="003C4A28"/>
    <w:rsid w:val="00453A2E"/>
    <w:rsid w:val="004D0F2F"/>
    <w:rsid w:val="00521408"/>
    <w:rsid w:val="00533C2F"/>
    <w:rsid w:val="005A57EE"/>
    <w:rsid w:val="005D1A96"/>
    <w:rsid w:val="00640DDB"/>
    <w:rsid w:val="00665633"/>
    <w:rsid w:val="0066765D"/>
    <w:rsid w:val="006677FD"/>
    <w:rsid w:val="00675DDB"/>
    <w:rsid w:val="00682D89"/>
    <w:rsid w:val="006869CA"/>
    <w:rsid w:val="006A59F3"/>
    <w:rsid w:val="006E51CB"/>
    <w:rsid w:val="006F4BCA"/>
    <w:rsid w:val="00701A1C"/>
    <w:rsid w:val="00731428"/>
    <w:rsid w:val="00770872"/>
    <w:rsid w:val="007C1196"/>
    <w:rsid w:val="007C1CD5"/>
    <w:rsid w:val="007C726F"/>
    <w:rsid w:val="007D5BD7"/>
    <w:rsid w:val="0081383C"/>
    <w:rsid w:val="0083365E"/>
    <w:rsid w:val="008427F4"/>
    <w:rsid w:val="008C5765"/>
    <w:rsid w:val="008F4F10"/>
    <w:rsid w:val="008F6454"/>
    <w:rsid w:val="009B35F5"/>
    <w:rsid w:val="009D503D"/>
    <w:rsid w:val="009F1C15"/>
    <w:rsid w:val="00AA2B5E"/>
    <w:rsid w:val="00AB5B49"/>
    <w:rsid w:val="00B00798"/>
    <w:rsid w:val="00B23265"/>
    <w:rsid w:val="00B23D9E"/>
    <w:rsid w:val="00B51F6F"/>
    <w:rsid w:val="00B777C4"/>
    <w:rsid w:val="00BF6617"/>
    <w:rsid w:val="00C41C5C"/>
    <w:rsid w:val="00C5597E"/>
    <w:rsid w:val="00C95C98"/>
    <w:rsid w:val="00CA1180"/>
    <w:rsid w:val="00CE51D2"/>
    <w:rsid w:val="00DA667F"/>
    <w:rsid w:val="00DB4B0E"/>
    <w:rsid w:val="00DC1E5B"/>
    <w:rsid w:val="00DC4851"/>
    <w:rsid w:val="00DE4402"/>
    <w:rsid w:val="00E84B13"/>
    <w:rsid w:val="00F07A9C"/>
    <w:rsid w:val="00F27E7F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5C437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4812</Words>
  <Characters>2744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Vineta Dārzniece</cp:lastModifiedBy>
  <cp:revision>2</cp:revision>
  <dcterms:created xsi:type="dcterms:W3CDTF">2026-01-26T09:49:00Z</dcterms:created>
  <dcterms:modified xsi:type="dcterms:W3CDTF">2026-01-26T09:49:00Z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