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8639" w14:textId="77777777" w:rsidR="00BD082A" w:rsidRPr="00EE3D05" w:rsidRDefault="00BD082A" w:rsidP="00BD082A">
      <w:pPr>
        <w:spacing w:after="160"/>
        <w:jc w:val="center"/>
        <w:rPr>
          <w:rFonts w:cs="Times New Roman"/>
          <w:b/>
          <w:noProof/>
          <w:sz w:val="26"/>
          <w:szCs w:val="26"/>
        </w:rPr>
      </w:pPr>
      <w:r w:rsidRPr="00EE3D05">
        <w:rPr>
          <w:rFonts w:cs="Times New Roman"/>
          <w:b/>
          <w:noProof/>
          <w:sz w:val="26"/>
          <w:szCs w:val="26"/>
        </w:rPr>
        <w:t xml:space="preserve">Paskaidrojuma raksts </w:t>
      </w:r>
    </w:p>
    <w:p w14:paraId="649A0F9F" w14:textId="0902111B" w:rsidR="00BD082A" w:rsidRPr="00EE3D05" w:rsidRDefault="00BD082A" w:rsidP="00BD082A">
      <w:pPr>
        <w:spacing w:after="160"/>
        <w:jc w:val="center"/>
        <w:rPr>
          <w:rFonts w:cs="Times New Roman"/>
          <w:b/>
          <w:bCs/>
          <w:noProof/>
          <w:sz w:val="26"/>
          <w:szCs w:val="26"/>
        </w:rPr>
      </w:pPr>
      <w:r w:rsidRPr="00EE3D05">
        <w:rPr>
          <w:rFonts w:cs="Times New Roman"/>
          <w:b/>
          <w:bCs/>
          <w:noProof/>
          <w:sz w:val="26"/>
          <w:szCs w:val="26"/>
        </w:rPr>
        <w:t>Rīgas domes 202</w:t>
      </w:r>
      <w:r w:rsidR="000A4B04">
        <w:rPr>
          <w:rFonts w:cs="Times New Roman"/>
          <w:b/>
          <w:bCs/>
          <w:noProof/>
          <w:sz w:val="26"/>
          <w:szCs w:val="26"/>
        </w:rPr>
        <w:t>6</w:t>
      </w:r>
      <w:r w:rsidRPr="00EE3D05">
        <w:rPr>
          <w:rFonts w:cs="Times New Roman"/>
          <w:b/>
          <w:bCs/>
          <w:noProof/>
          <w:sz w:val="26"/>
          <w:szCs w:val="26"/>
        </w:rPr>
        <w:t>.</w:t>
      </w:r>
      <w:r w:rsidR="0060621E" w:rsidRPr="00EE3D05">
        <w:rPr>
          <w:rFonts w:cs="Times New Roman"/>
          <w:b/>
          <w:bCs/>
          <w:noProof/>
          <w:sz w:val="26"/>
          <w:szCs w:val="26"/>
        </w:rPr>
        <w:t> </w:t>
      </w:r>
      <w:r w:rsidRPr="00EE3D05">
        <w:rPr>
          <w:rFonts w:cs="Times New Roman"/>
          <w:b/>
          <w:bCs/>
          <w:noProof/>
          <w:sz w:val="26"/>
          <w:szCs w:val="26"/>
        </w:rPr>
        <w:t xml:space="preserve">gada </w:t>
      </w:r>
      <w:r w:rsidRPr="00EE3D05">
        <w:rPr>
          <w:rFonts w:cs="Times New Roman"/>
          <w:b/>
          <w:bCs/>
          <w:noProof/>
          <w:sz w:val="26"/>
          <w:szCs w:val="26"/>
        </w:rPr>
        <w:softHyphen/>
        <w:t xml:space="preserve">__. </w:t>
      </w:r>
      <w:r w:rsidR="00367E95" w:rsidRPr="00EE3D05">
        <w:rPr>
          <w:rFonts w:cs="Times New Roman"/>
          <w:b/>
          <w:bCs/>
          <w:noProof/>
          <w:sz w:val="26"/>
          <w:szCs w:val="26"/>
        </w:rPr>
        <w:t>________</w:t>
      </w:r>
      <w:r w:rsidRPr="00EE3D05">
        <w:rPr>
          <w:rFonts w:cs="Times New Roman"/>
          <w:b/>
          <w:bCs/>
          <w:noProof/>
          <w:sz w:val="26"/>
          <w:szCs w:val="26"/>
        </w:rPr>
        <w:t xml:space="preserve"> saistošajiem noteikumiem N</w:t>
      </w:r>
      <w:r w:rsidR="0060621E" w:rsidRPr="00EE3D05">
        <w:rPr>
          <w:rFonts w:cs="Times New Roman"/>
          <w:b/>
          <w:bCs/>
          <w:noProof/>
          <w:sz w:val="26"/>
          <w:szCs w:val="26"/>
        </w:rPr>
        <w:t>r. RD</w:t>
      </w:r>
      <w:r w:rsidRPr="00EE3D05">
        <w:rPr>
          <w:rFonts w:cs="Times New Roman"/>
          <w:b/>
          <w:bCs/>
          <w:noProof/>
          <w:sz w:val="26"/>
          <w:szCs w:val="26"/>
        </w:rPr>
        <w:t>-</w:t>
      </w:r>
      <w:r w:rsidR="007A7DDE" w:rsidRPr="00EE3D05">
        <w:rPr>
          <w:rFonts w:cs="Times New Roman"/>
          <w:b/>
          <w:bCs/>
          <w:noProof/>
          <w:sz w:val="26"/>
          <w:szCs w:val="26"/>
        </w:rPr>
        <w:t>2</w:t>
      </w:r>
      <w:r w:rsidR="000A4B04">
        <w:rPr>
          <w:rFonts w:cs="Times New Roman"/>
          <w:b/>
          <w:bCs/>
          <w:noProof/>
          <w:sz w:val="26"/>
          <w:szCs w:val="26"/>
        </w:rPr>
        <w:t>6</w:t>
      </w:r>
      <w:r w:rsidRPr="00EE3D05">
        <w:rPr>
          <w:rFonts w:cs="Times New Roman"/>
          <w:b/>
          <w:bCs/>
          <w:noProof/>
          <w:sz w:val="26"/>
          <w:szCs w:val="26"/>
        </w:rPr>
        <w:t>-</w:t>
      </w:r>
      <w:r w:rsidR="0060621E" w:rsidRPr="00EE3D05">
        <w:rPr>
          <w:rFonts w:cs="Times New Roman"/>
          <w:b/>
          <w:bCs/>
          <w:noProof/>
          <w:sz w:val="26"/>
          <w:szCs w:val="26"/>
        </w:rPr>
        <w:t>__</w:t>
      </w:r>
      <w:r w:rsidRPr="00EE3D05">
        <w:rPr>
          <w:rFonts w:cs="Times New Roman"/>
          <w:b/>
          <w:bCs/>
          <w:noProof/>
          <w:sz w:val="26"/>
          <w:szCs w:val="26"/>
        </w:rPr>
        <w:t xml:space="preserve">- sn </w:t>
      </w:r>
    </w:p>
    <w:p w14:paraId="5838570F" w14:textId="45C0A2C6" w:rsidR="00BD082A" w:rsidRDefault="00BD082A" w:rsidP="000A4B04">
      <w:pPr>
        <w:spacing w:line="240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bookmarkStart w:id="0" w:name="_Hlk36634929"/>
      <w:r w:rsidRPr="00EE3D05">
        <w:rPr>
          <w:rFonts w:eastAsia="Times New Roman" w:cs="Times New Roman"/>
          <w:b/>
          <w:bCs/>
          <w:sz w:val="26"/>
          <w:szCs w:val="26"/>
        </w:rPr>
        <w:t>“</w:t>
      </w:r>
      <w:bookmarkEnd w:id="0"/>
      <w:r w:rsidR="000A4B04" w:rsidRPr="007D5BD7">
        <w:rPr>
          <w:rFonts w:eastAsia="Times New Roman" w:cs="Times New Roman"/>
          <w:b/>
          <w:sz w:val="26"/>
          <w:szCs w:val="26"/>
          <w:lang w:eastAsia="lv-LV"/>
        </w:rPr>
        <w:t>Grozījumi Rīgas domes 2025. gada 21. maija saistošajos noteikumos Nr.</w:t>
      </w:r>
      <w:r w:rsidR="000A4B04">
        <w:rPr>
          <w:rFonts w:eastAsia="Times New Roman" w:cs="Times New Roman"/>
          <w:b/>
          <w:sz w:val="26"/>
          <w:szCs w:val="26"/>
          <w:lang w:eastAsia="lv-LV"/>
        </w:rPr>
        <w:t> </w:t>
      </w:r>
      <w:r w:rsidR="000A4B04" w:rsidRPr="007D5BD7">
        <w:rPr>
          <w:rFonts w:eastAsia="Times New Roman" w:cs="Times New Roman"/>
          <w:b/>
          <w:sz w:val="26"/>
          <w:szCs w:val="26"/>
          <w:lang w:eastAsia="lv-LV"/>
        </w:rPr>
        <w:t>RD-25-340-sn “Par kārtību, kādā Rīgas valstspilsētas pašvaldība kompensē izdevumus par publiskās infrastruktūras būvniecību”</w:t>
      </w:r>
      <w:r w:rsidRPr="00EE3D05">
        <w:rPr>
          <w:rFonts w:eastAsia="Times New Roman" w:cs="Times New Roman"/>
          <w:b/>
          <w:bCs/>
          <w:sz w:val="26"/>
          <w:szCs w:val="26"/>
        </w:rPr>
        <w:t>”</w:t>
      </w:r>
    </w:p>
    <w:p w14:paraId="219BAC9B" w14:textId="77777777" w:rsidR="000A4B04" w:rsidRPr="000A4B04" w:rsidRDefault="000A4B04" w:rsidP="000A4B04">
      <w:pPr>
        <w:spacing w:line="240" w:lineRule="auto"/>
        <w:jc w:val="center"/>
        <w:rPr>
          <w:rFonts w:eastAsia="Times New Roman" w:cs="Times New Roman"/>
          <w:b/>
          <w:sz w:val="26"/>
          <w:szCs w:val="26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D082A" w:rsidRPr="00EE3D05" w14:paraId="168CFD11" w14:textId="77777777" w:rsidTr="00A15256">
        <w:trPr>
          <w:trHeight w:val="654"/>
        </w:trPr>
        <w:tc>
          <w:tcPr>
            <w:tcW w:w="9247" w:type="dxa"/>
            <w:shd w:val="clear" w:color="auto" w:fill="auto"/>
          </w:tcPr>
          <w:p w14:paraId="16A2F534" w14:textId="798A5ED3" w:rsidR="000A4B04" w:rsidRDefault="00514DB3" w:rsidP="00514DB3">
            <w:pPr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514DB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1. Mērķi un nepieciešamības pamatojums, tostarp raksturojot iespējamās alternatīvas, kas neparedz tiesiskā regulējuma izstrādi. </w:t>
            </w:r>
          </w:p>
          <w:p w14:paraId="459E5B2F" w14:textId="57721D52" w:rsidR="000A4B04" w:rsidRDefault="000A4B04" w:rsidP="00514DB3">
            <w:pPr>
              <w:shd w:val="clear" w:color="auto" w:fill="FFFFFF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Saistošo noteikumu “</w:t>
            </w:r>
            <w:r w:rsidRPr="000A4B04">
              <w:rPr>
                <w:rFonts w:eastAsia="Times New Roman" w:cs="Times New Roman"/>
                <w:sz w:val="26"/>
                <w:szCs w:val="26"/>
                <w:lang w:eastAsia="lv-LV"/>
              </w:rPr>
              <w:t>Grozījumi Rīgas domes 2025. gada 21. maija saistošajos noteikumos Nr. RD-25-340-sn “Par kārtību, kādā Rīgas valstspilsētas pašvaldība kompensē izdevumus par publiskās infrastruktūras būvniecību”</w:t>
            </w:r>
            <w:r w:rsidRPr="000A4B04">
              <w:rPr>
                <w:rFonts w:eastAsia="Times New Roman" w:cs="Times New Roman"/>
                <w:sz w:val="26"/>
                <w:szCs w:val="26"/>
              </w:rPr>
              <w:t>”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(turpmāk – saistošie noteikumi) izdošanas mērķis ir izdarīt grozījumus </w:t>
            </w:r>
            <w:r w:rsidRPr="000A4B04">
              <w:rPr>
                <w:rFonts w:eastAsia="Times New Roman" w:cs="Times New Roman"/>
                <w:sz w:val="26"/>
                <w:szCs w:val="26"/>
                <w:lang w:eastAsia="lv-LV"/>
              </w:rPr>
              <w:t>Rīgas domes 2025. gada 21. maija saistošajos noteikumos Nr. RD-25-340-sn “Par kārtību, kādā Rīgas valstspilsētas pašvaldība kompensē izdevumus par publiskās infrastruktūras būvniecību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(turpmāk – Saistošie noteikum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i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Nr. RD-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25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340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-sn), ņemot vērā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, ka, piemērojot principu “konsultē vispirms” un iepazīstoties ar attīstītāju sniegtajiem datiem par publiskās infrastruktūras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potenciālo izbūvi, secin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āts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, ka šobrīd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Saistoš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aj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os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noteikum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o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s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Nr. RD-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25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340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-sn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norādītais kompensācijas veids un apmērs nesasniedz šo noteikumu mērķi 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(</w:t>
            </w:r>
            <w:r w:rsidR="007B7DD2" w:rsidRPr="00514DB3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ātrāk un efektīvāk sasniegt Rīgas ilgtspējīgas attīstības stratēģij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ā</w:t>
            </w:r>
            <w:r w:rsidR="007B7DD2" w:rsidRPr="00514DB3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līdz 2030.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 </w:t>
            </w:r>
            <w:r w:rsidR="007B7DD2" w:rsidRPr="00514DB3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gadam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7B7DD2" w:rsidRPr="00514DB3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noteikto attiecībā uz mājokļu nodrošinājumu un tādu publiskās infrastruktūras nodrošināšanu, kas sasaista jaunos mājokļus ar pārējo pilsētas teritoriju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), proti, veicot provizorisku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s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kompensācijas aprēķinu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s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pie esošās redakcijas 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izmaksājamās 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kompensācijas 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apjoms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var sasniegt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tikai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20 % no kopējām izmaksām. Pie šāda 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kompensācijas apjoma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attīstītāji nav ieinteresēti izmantot </w:t>
            </w:r>
            <w:r w:rsidR="007B7DD2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Saistoš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o</w:t>
            </w:r>
            <w:r w:rsidR="007B7DD2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noteikum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u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7B7DD2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Nr. RD-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25</w:t>
            </w:r>
            <w:r w:rsidR="007B7DD2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340</w:t>
            </w:r>
            <w:r w:rsidR="007B7DD2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-sn</w:t>
            </w:r>
            <w:r w:rsidR="007B7DD2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piedāvātās iespējas.</w:t>
            </w:r>
          </w:p>
          <w:p w14:paraId="1173518D" w14:textId="1BBB1C47" w:rsidR="00CA4E4F" w:rsidRDefault="007B7DD2" w:rsidP="00514DB3">
            <w:pPr>
              <w:shd w:val="clear" w:color="auto" w:fill="FFFFFF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Ievērojot minēto, ar saistošajiem noteikumiem tiek precizēts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Saistoš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o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noteikum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u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Nr. RD-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25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340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-sn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3. punkts, paredzot, ka kompensēti tiek ne tikai būvizstrādājumi, bet arī ar tiem saistītie mehānis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i, kā arī palielinot kompensācijas apmēru no 80 % uz 90 %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71096A" w:rsidRP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no publiskās infrastruktūras būvizstrādājumu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un ar to saistīto mehānismu</w:t>
            </w:r>
            <w:r w:rsidR="0071096A" w:rsidRP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izma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ksām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. Secīgi tiek izteikts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Saistoš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o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noteikum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u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Nr. RD-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25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340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-sn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1. pielikum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s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jaunā – vienkāršotā – redakcijā. </w:t>
            </w:r>
            <w:r w:rsidR="00CA4E4F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Pie šādas jaun</w:t>
            </w:r>
            <w:r w:rsidR="00CA4E4F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a</w:t>
            </w:r>
            <w:r w:rsidR="00CA4E4F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s redakcijas kompensācijas apjoms var sasniegt līdz 50 % no kopējām izmaksām.</w:t>
            </w:r>
          </w:p>
          <w:p w14:paraId="50F2DD3D" w14:textId="0766BBD0" w:rsidR="00514DB3" w:rsidRPr="00AC4C6B" w:rsidRDefault="007B7DD2" w:rsidP="00514DB3">
            <w:pPr>
              <w:shd w:val="clear" w:color="auto" w:fill="FFFFFF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Vienlaikus paredzētās izmaiņas turpina nodrošināt, ka </w:t>
            </w:r>
            <w:r w:rsidR="00514DB3" w:rsidRPr="00514DB3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kompensētās izmaksas nepārsniegs tirgus cenu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. </w:t>
            </w:r>
          </w:p>
          <w:p w14:paraId="5943BBEB" w14:textId="0F624218" w:rsidR="008A1A97" w:rsidRPr="00514DB3" w:rsidRDefault="00514DB3" w:rsidP="009437AC">
            <w:pPr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514DB3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Alternatīva 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saistošajos </w:t>
            </w:r>
            <w:r w:rsidRPr="00514DB3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noteikumos aprakstītajai kārtībai ir saglabāt esošo situāciju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, kas var ietekmēt to, ka </w:t>
            </w:r>
            <w:r w:rsidR="0071096A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Saistoš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ie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71096A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noteikum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i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71096A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Nr. RD-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25</w:t>
            </w:r>
            <w:r w:rsidR="0071096A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340</w:t>
            </w:r>
            <w:r w:rsidR="0071096A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-sn</w:t>
            </w:r>
            <w:r w:rsidR="0071096A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netiek piemēroti.</w:t>
            </w:r>
          </w:p>
        </w:tc>
      </w:tr>
      <w:tr w:rsidR="00BD082A" w:rsidRPr="00EE3D05" w14:paraId="43F9D4ED" w14:textId="77777777" w:rsidTr="00A15256">
        <w:tc>
          <w:tcPr>
            <w:tcW w:w="9247" w:type="dxa"/>
          </w:tcPr>
          <w:p w14:paraId="39D52EB9" w14:textId="6E520B2F" w:rsidR="00BD082A" w:rsidRPr="00EE3D05" w:rsidRDefault="00BD082A" w:rsidP="00A15256">
            <w:pPr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EE3D0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2. Fiskālā ietekme uz pašvaldības budžetu, iekļaujot attiecīgus aprēķinus</w:t>
            </w:r>
            <w:r w:rsidR="00EA14ED" w:rsidRPr="00EE3D0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.</w:t>
            </w:r>
          </w:p>
          <w:p w14:paraId="5FE3DF49" w14:textId="0820F556" w:rsidR="00AB705E" w:rsidRPr="00F24A70" w:rsidRDefault="0096633A" w:rsidP="009437AC">
            <w:pPr>
              <w:shd w:val="clear" w:color="auto" w:fill="FFFFFF"/>
              <w:jc w:val="both"/>
              <w:rPr>
                <w:rFonts w:eastAsia="Times New Roman" w:cs="Times New Roman"/>
                <w:noProof/>
                <w:sz w:val="26"/>
                <w:szCs w:val="26"/>
                <w:highlight w:val="yellow"/>
              </w:rPr>
            </w:pPr>
            <w:r w:rsidRPr="00F24A70">
              <w:rPr>
                <w:rFonts w:eastAsia="Times New Roman" w:cs="Times New Roman"/>
                <w:noProof/>
                <w:sz w:val="26"/>
                <w:szCs w:val="26"/>
              </w:rPr>
              <w:t>Ietekme uz pašvaldības budžetu</w:t>
            </w:r>
            <w:r w:rsidR="00AC4C6B" w:rsidRPr="00F24A70">
              <w:rPr>
                <w:rFonts w:eastAsia="Times New Roman" w:cs="Times New Roman"/>
                <w:noProof/>
                <w:sz w:val="26"/>
                <w:szCs w:val="26"/>
              </w:rPr>
              <w:t xml:space="preserve"> saglabājas </w:t>
            </w:r>
            <w:r w:rsidR="00F24A70" w:rsidRPr="00F24A70">
              <w:rPr>
                <w:rFonts w:eastAsia="Times New Roman" w:cs="Times New Roman"/>
                <w:noProof/>
                <w:sz w:val="26"/>
                <w:szCs w:val="26"/>
              </w:rPr>
              <w:t xml:space="preserve">atbilstoši </w:t>
            </w:r>
            <w:r w:rsidR="00F24A70" w:rsidRPr="00F24A70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Saistoš</w:t>
            </w:r>
            <w:r w:rsidR="00F24A70" w:rsidRPr="00F24A70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o</w:t>
            </w:r>
            <w:r w:rsidR="00F24A70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F24A70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noteikum</w:t>
            </w:r>
            <w:r w:rsidR="00F24A70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u</w:t>
            </w:r>
            <w:r w:rsidR="00F24A70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F24A70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Nr.</w:t>
            </w:r>
            <w:r w:rsidR="00F24A70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 </w:t>
            </w:r>
            <w:r w:rsidR="00F24A70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RD-</w:t>
            </w:r>
            <w:r w:rsidR="00F24A70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25</w:t>
            </w:r>
            <w:r w:rsidR="00F24A70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</w:t>
            </w:r>
            <w:r w:rsidR="00F24A70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340</w:t>
            </w:r>
            <w:r w:rsidR="00F24A70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-sn</w:t>
            </w:r>
            <w:r w:rsidR="00F24A70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noteiktajam: </w:t>
            </w:r>
            <w:r w:rsidR="00F24A70" w:rsidRPr="0096633A">
              <w:rPr>
                <w:rFonts w:eastAsia="Times New Roman" w:cs="Times New Roman"/>
                <w:noProof/>
                <w:sz w:val="26"/>
                <w:szCs w:val="26"/>
              </w:rPr>
              <w:t>kompensācijas izmaksa tiek uzsākta ne ātrāk kā pēc trijiem gadiem no Rīgas domes lēmuma par kompensācijas piešķiršanu,</w:t>
            </w:r>
            <w:r w:rsidR="00F24A70">
              <w:rPr>
                <w:rFonts w:eastAsia="Times New Roman" w:cs="Times New Roman"/>
                <w:noProof/>
                <w:sz w:val="26"/>
                <w:szCs w:val="26"/>
              </w:rPr>
              <w:t xml:space="preserve"> tas</w:t>
            </w:r>
            <w:r w:rsidR="00F24A70" w:rsidRPr="0096633A">
              <w:rPr>
                <w:rFonts w:eastAsia="Times New Roman" w:cs="Times New Roman"/>
                <w:noProof/>
                <w:sz w:val="26"/>
                <w:szCs w:val="26"/>
              </w:rPr>
              <w:t xml:space="preserve"> ļauj savlaicīgi plānot pašvaldības budžetu. Sākot ar 2029. gadu pašvaldības </w:t>
            </w:r>
            <w:r w:rsidR="00F24A70" w:rsidRPr="0096633A">
              <w:rPr>
                <w:rFonts w:eastAsia="Times New Roman" w:cs="Times New Roman"/>
                <w:noProof/>
                <w:sz w:val="26"/>
                <w:szCs w:val="26"/>
              </w:rPr>
              <w:lastRenderedPageBreak/>
              <w:t>budžetā tiks veidota speciāla budžeta programma un kompensācijas izmaksas notiks saskaņā ar šajā programmā pieejamo finansējumu.</w:t>
            </w:r>
          </w:p>
        </w:tc>
      </w:tr>
      <w:tr w:rsidR="00BD082A" w:rsidRPr="00EE3D05" w14:paraId="326DC2E1" w14:textId="77777777" w:rsidTr="00A15256">
        <w:tc>
          <w:tcPr>
            <w:tcW w:w="9247" w:type="dxa"/>
          </w:tcPr>
          <w:p w14:paraId="626A6708" w14:textId="0AFE9B45" w:rsidR="00BD082A" w:rsidRPr="00EE3D05" w:rsidRDefault="00BD082A" w:rsidP="00A15256">
            <w:pPr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EE3D0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lastRenderedPageBreak/>
              <w:t>3. Sociālā ietekme, ietekme uz vidi, iedzīvotāju veselību, uzņēmējdarbības vidi pašvaldības teritorijā, kā arī plānotā regulējuma ietekme uz konkurenci (aktuālā situācija, prognozes tirgū un atbilstība brīvai un godīgai konkurencei)</w:t>
            </w:r>
            <w:r w:rsidR="00651A3F" w:rsidRPr="00EE3D0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.</w:t>
            </w:r>
          </w:p>
          <w:p w14:paraId="51B715C1" w14:textId="30605E6C" w:rsidR="00B62758" w:rsidRPr="0077131C" w:rsidRDefault="00AC4C6B" w:rsidP="00B62758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 w:rsidRPr="004B427F">
              <w:rPr>
                <w:rFonts w:eastAsia="Times New Roman" w:cs="Times New Roman"/>
                <w:sz w:val="26"/>
                <w:szCs w:val="26"/>
                <w:lang w:eastAsia="lv-LV"/>
              </w:rPr>
              <w:t>Saistošie n</w:t>
            </w:r>
            <w:r w:rsidR="0032372E" w:rsidRPr="004B427F">
              <w:rPr>
                <w:rFonts w:eastAsia="Times New Roman" w:cs="Times New Roman"/>
                <w:sz w:val="26"/>
                <w:szCs w:val="26"/>
                <w:lang w:eastAsia="lv-LV"/>
              </w:rPr>
              <w:t>oteikumi</w:t>
            </w:r>
            <w:r w:rsidRPr="004B427F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veicinās </w:t>
            </w:r>
            <w:r w:rsidRPr="004B427F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Saistošo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noteikum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u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Nr. RD-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25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340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-sn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piemērošanu</w:t>
            </w:r>
            <w:r w:rsidR="00C76E51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, tādējādi </w:t>
            </w:r>
            <w:r w:rsidR="0077131C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palielināsies </w:t>
            </w:r>
            <w:r w:rsidR="0077131C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Saistoš</w:t>
            </w:r>
            <w:r w:rsidR="0077131C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o </w:t>
            </w:r>
            <w:r w:rsidR="0077131C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noteikum</w:t>
            </w:r>
            <w:r w:rsidR="0077131C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u </w:t>
            </w:r>
            <w:r w:rsidR="0077131C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Nr. RD-</w:t>
            </w:r>
            <w:r w:rsidR="0077131C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25</w:t>
            </w:r>
            <w:r w:rsidR="0077131C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</w:t>
            </w:r>
            <w:r w:rsidR="0077131C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340</w:t>
            </w:r>
            <w:r w:rsidR="0077131C"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-s</w:t>
            </w:r>
            <w:r w:rsidR="0077131C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n </w:t>
            </w:r>
            <w:r w:rsidR="004B427F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pozitīvā </w:t>
            </w:r>
            <w:r w:rsidR="00B62758" w:rsidRPr="003A2F47">
              <w:rPr>
                <w:rFonts w:eastAsia="Times New Roman" w:cs="Times New Roman"/>
                <w:sz w:val="26"/>
                <w:szCs w:val="26"/>
                <w:lang w:eastAsia="lv-LV"/>
              </w:rPr>
              <w:t>sociālekonomiskā ietekme uz Rīgas pilsētu, tās iedzīvotājiem un komersantiem.</w:t>
            </w:r>
          </w:p>
          <w:p w14:paraId="26FF7D11" w14:textId="69F5CA89" w:rsidR="005621C2" w:rsidRPr="0077131C" w:rsidRDefault="0077131C" w:rsidP="008440B0">
            <w:pPr>
              <w:jc w:val="both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Saistošajiem n</w:t>
            </w:r>
            <w:r w:rsidR="00B62758" w:rsidRPr="003A2F47">
              <w:rPr>
                <w:rFonts w:eastAsia="Times New Roman" w:cs="Times New Roman"/>
                <w:sz w:val="26"/>
                <w:szCs w:val="26"/>
                <w:lang w:eastAsia="lv-LV"/>
              </w:rPr>
              <w:t>oteikumiem nav ietekmes uz konkurētspēju</w:t>
            </w: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  <w:tr w:rsidR="00BD082A" w:rsidRPr="00EE3D05" w14:paraId="0AFCA331" w14:textId="77777777" w:rsidTr="00A15256">
        <w:tc>
          <w:tcPr>
            <w:tcW w:w="9247" w:type="dxa"/>
          </w:tcPr>
          <w:p w14:paraId="4B72704F" w14:textId="5C840927" w:rsidR="005621C2" w:rsidRPr="00EE3D05" w:rsidRDefault="00BD082A" w:rsidP="001614B4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EE3D0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4. Ietekme uz administratīvajām procedūrām un to izmaksām gan attiecībā uz saimnieciskās darbības veicējiem, gan fiziskajām personām un nevalstiskā sektora organizācijām, gan budžeta finansētām institūcijām</w:t>
            </w:r>
            <w:r w:rsidR="00EA14ED" w:rsidRPr="00EE3D0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.</w:t>
            </w:r>
          </w:p>
          <w:p w14:paraId="560EA5D4" w14:textId="117DB0A1" w:rsidR="00EA14ED" w:rsidRPr="00EE3D05" w:rsidRDefault="00AC4C6B" w:rsidP="00EA14ED">
            <w:pPr>
              <w:jc w:val="both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lv-LV"/>
              </w:rPr>
            </w:pPr>
            <w:r w:rsidRPr="00AC4C6B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Nav ietekmes. Administratīvās procedūras netiek mainītas.</w:t>
            </w:r>
          </w:p>
        </w:tc>
      </w:tr>
      <w:tr w:rsidR="00BD082A" w:rsidRPr="00EE3D05" w14:paraId="05E8F732" w14:textId="77777777" w:rsidTr="00A15256">
        <w:tc>
          <w:tcPr>
            <w:tcW w:w="9247" w:type="dxa"/>
          </w:tcPr>
          <w:p w14:paraId="190D34DE" w14:textId="58223B40" w:rsidR="00BD082A" w:rsidRPr="00EE3D05" w:rsidRDefault="00BD082A" w:rsidP="00A15256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EE3D0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5. Ietekme uz pašvaldības funkcijām un cilvēkresursiem</w:t>
            </w:r>
            <w:r w:rsidR="00EA14ED" w:rsidRPr="00EE3D0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.</w:t>
            </w:r>
          </w:p>
          <w:p w14:paraId="2AB1E69E" w14:textId="51B8C10D" w:rsidR="008F4D13" w:rsidRPr="00AC4C6B" w:rsidRDefault="00AC4C6B" w:rsidP="00AC4C6B">
            <w:pPr>
              <w:jc w:val="both"/>
              <w:rPr>
                <w:rFonts w:cs="Times New Roman"/>
                <w:sz w:val="26"/>
                <w:szCs w:val="26"/>
              </w:rPr>
            </w:pPr>
            <w:r w:rsidRPr="00AC4C6B">
              <w:rPr>
                <w:rFonts w:cs="Times New Roman"/>
                <w:sz w:val="26"/>
                <w:szCs w:val="26"/>
              </w:rPr>
              <w:t>Saistošo noteikumu izpildei nav nepieciešams veidot jaunas pašvaldības institūcijas,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AC4C6B">
              <w:rPr>
                <w:rFonts w:cs="Times New Roman"/>
                <w:sz w:val="26"/>
                <w:szCs w:val="26"/>
              </w:rPr>
              <w:t>darba vietas vai paplašināt esošo institūciju kompetenci.</w:t>
            </w:r>
          </w:p>
        </w:tc>
      </w:tr>
      <w:tr w:rsidR="00BD082A" w:rsidRPr="00EE3D05" w14:paraId="3F0FAC7C" w14:textId="77777777" w:rsidTr="00A15256">
        <w:tc>
          <w:tcPr>
            <w:tcW w:w="9247" w:type="dxa"/>
          </w:tcPr>
          <w:p w14:paraId="555FEAB1" w14:textId="77777777" w:rsidR="00BD082A" w:rsidRPr="00EE3D05" w:rsidRDefault="00BD082A" w:rsidP="00A63DDC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EE3D05">
              <w:rPr>
                <w:rFonts w:eastAsia="Times New Roman" w:cs="Times New Roman"/>
                <w:b/>
                <w:bCs/>
                <w:sz w:val="26"/>
                <w:szCs w:val="26"/>
                <w:lang w:eastAsia="lv-LV"/>
              </w:rPr>
              <w:t>6. Izpildes nodrošināšana</w:t>
            </w:r>
          </w:p>
          <w:p w14:paraId="5BBB649C" w14:textId="34FACCA1" w:rsidR="008F4D13" w:rsidRPr="00A63DDC" w:rsidRDefault="00AC4C6B" w:rsidP="00AC4C6B">
            <w:pPr>
              <w:jc w:val="both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 w:rsidRPr="00AC4C6B">
              <w:rPr>
                <w:rFonts w:eastAsia="Times New Roman" w:cs="Times New Roman"/>
                <w:sz w:val="26"/>
                <w:szCs w:val="26"/>
                <w:lang w:eastAsia="lv-LV"/>
              </w:rPr>
              <w:t>Saistošo noteikumu izpildi nodrošin</w:t>
            </w:r>
            <w:r w:rsidR="00F24A70">
              <w:rPr>
                <w:rFonts w:eastAsia="Times New Roman" w:cs="Times New Roman"/>
                <w:sz w:val="26"/>
                <w:szCs w:val="26"/>
                <w:lang w:eastAsia="lv-LV"/>
              </w:rPr>
              <w:t>ās</w:t>
            </w:r>
            <w:r w:rsidRPr="00AC4C6B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Saistošajos noteikumos Nr.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RD-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25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340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-sn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Pr="00AC4C6B">
              <w:rPr>
                <w:rFonts w:eastAsia="Times New Roman" w:cs="Times New Roman"/>
                <w:sz w:val="26"/>
                <w:szCs w:val="26"/>
                <w:lang w:eastAsia="lv-LV"/>
              </w:rPr>
              <w:t>norādītās Rīgas valstspilsētas pašvaldības iestādes atbilstoši tajos norādītajai kompetencei.</w:t>
            </w:r>
          </w:p>
        </w:tc>
      </w:tr>
      <w:tr w:rsidR="00BD082A" w:rsidRPr="00EE3D05" w14:paraId="7A07AD43" w14:textId="77777777" w:rsidTr="00A15256">
        <w:tc>
          <w:tcPr>
            <w:tcW w:w="9247" w:type="dxa"/>
          </w:tcPr>
          <w:p w14:paraId="1F17553D" w14:textId="77777777" w:rsidR="00AC4C6B" w:rsidRDefault="00BD082A" w:rsidP="00EA14ED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EE3D0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7. Prasību un izmaksu samērīgums pret ieguvumiem, ko sniedz mērķa sasniegšana</w:t>
            </w:r>
            <w:r w:rsidR="00EA14ED" w:rsidRPr="00EE3D0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.</w:t>
            </w:r>
          </w:p>
          <w:p w14:paraId="593E2FA4" w14:textId="4FF60E09" w:rsidR="00274FCF" w:rsidRPr="00AC4C6B" w:rsidRDefault="00AC4C6B" w:rsidP="00EA14ED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Saistoši n</w:t>
            </w:r>
            <w:r w:rsidR="00BD082A" w:rsidRPr="00EE3D05">
              <w:rPr>
                <w:rFonts w:eastAsia="Times New Roman" w:cs="Times New Roman"/>
                <w:sz w:val="26"/>
                <w:szCs w:val="26"/>
                <w:lang w:eastAsia="lv-LV"/>
              </w:rPr>
              <w:t>oteikumi ir atbilstoši</w:t>
            </w: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AC4C6B">
              <w:rPr>
                <w:rFonts w:eastAsia="Times New Roman" w:cs="Times New Roman"/>
                <w:sz w:val="26"/>
                <w:szCs w:val="26"/>
                <w:lang w:eastAsia="lv-LV"/>
              </w:rPr>
              <w:t>Saistošo noteikum</w:t>
            </w: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u</w:t>
            </w:r>
            <w:r w:rsidRPr="00AC4C6B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Nr. 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RD-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25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340</w:t>
            </w:r>
            <w:r w:rsidRPr="000A4B04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-sn</w:t>
            </w:r>
            <w:r w:rsidR="00BD082A" w:rsidRPr="00EE3D05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mērķa sasniegšanas nodrošināšanai – </w:t>
            </w:r>
            <w:r w:rsidR="006A60FF">
              <w:rPr>
                <w:rFonts w:eastAsia="Times New Roman" w:cs="Times New Roman"/>
                <w:sz w:val="26"/>
                <w:szCs w:val="26"/>
                <w:lang w:eastAsia="lv-LV"/>
              </w:rPr>
              <w:t>panākt</w:t>
            </w:r>
            <w:r w:rsidR="00A63DDC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514DB3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Rīgas ilgtspējīgas attīstības stratēģij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ā</w:t>
            </w:r>
            <w:r w:rsidRPr="00514DB3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līdz 2030. gadam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 w:rsidR="00A63DDC">
              <w:rPr>
                <w:rFonts w:eastAsia="Times New Roman" w:cs="Times New Roman"/>
                <w:sz w:val="26"/>
                <w:szCs w:val="26"/>
                <w:lang w:eastAsia="lv-LV"/>
              </w:rPr>
              <w:t>noteikt</w:t>
            </w:r>
            <w:r w:rsidR="006A60FF">
              <w:rPr>
                <w:rFonts w:eastAsia="Times New Roman" w:cs="Times New Roman"/>
                <w:sz w:val="26"/>
                <w:szCs w:val="26"/>
                <w:lang w:eastAsia="lv-LV"/>
              </w:rPr>
              <w:t>ā</w:t>
            </w:r>
            <w:r w:rsidR="00A63DDC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</w:t>
            </w:r>
            <w:r w:rsidR="006A60FF">
              <w:rPr>
                <w:rFonts w:eastAsia="Times New Roman" w:cs="Times New Roman"/>
                <w:sz w:val="26"/>
                <w:szCs w:val="26"/>
                <w:lang w:eastAsia="lv-LV"/>
              </w:rPr>
              <w:t>izpildi</w:t>
            </w:r>
            <w:r w:rsidR="00A63DDC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pēc iespējas ātrākā un efektīvākā veidā, veicinot mājokļu pieejamību un attīstot vienotu ielu tīklu. </w:t>
            </w:r>
          </w:p>
          <w:p w14:paraId="06049D00" w14:textId="791D3963" w:rsidR="00BD082A" w:rsidRPr="00EE3D05" w:rsidRDefault="00BD082A" w:rsidP="00274FC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 w:rsidRPr="00EE3D05">
              <w:rPr>
                <w:rFonts w:eastAsia="Times New Roman" w:cs="Times New Roman"/>
                <w:sz w:val="26"/>
                <w:szCs w:val="26"/>
                <w:lang w:eastAsia="lv-LV"/>
              </w:rPr>
              <w:t>Pašvaldības izraudzītie līdzekļi ir leģitīmi un rīcība ir atbilstoša augstāka juridiskā spēka tiesību normām.</w:t>
            </w:r>
          </w:p>
        </w:tc>
      </w:tr>
      <w:tr w:rsidR="00BD082A" w:rsidRPr="00EE3D05" w14:paraId="4CD2DBF4" w14:textId="77777777" w:rsidTr="00A15256">
        <w:tc>
          <w:tcPr>
            <w:tcW w:w="9247" w:type="dxa"/>
          </w:tcPr>
          <w:p w14:paraId="138EE040" w14:textId="4B6A5CCB" w:rsidR="00BD082A" w:rsidRPr="00EE3D05" w:rsidRDefault="00BD082A" w:rsidP="00A15256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EE3D0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8. Izstrādes gaitā veiktās konsultācijas ar privātpersonām un institūcijām, tostarp sabiedrības viedokļa noskaidrošanā gūtā informācija</w:t>
            </w:r>
            <w:r w:rsidR="00CF69C5" w:rsidRPr="00EE3D0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.</w:t>
            </w:r>
          </w:p>
          <w:p w14:paraId="56031207" w14:textId="57186FAA" w:rsidR="008F4D13" w:rsidRPr="00EE3D05" w:rsidRDefault="008F4D13" w:rsidP="00120068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 w:rsidRPr="00EE3D05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Konsultācijas veiktas ar Nekustamā īpašuma attīstītāju aliansi.</w:t>
            </w:r>
            <w:r w:rsidR="00F14DA8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</w:p>
          <w:p w14:paraId="34160BE3" w14:textId="277BE297" w:rsidR="006B01E0" w:rsidRPr="00331E50" w:rsidRDefault="004A4932" w:rsidP="00120068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 w:rsidRPr="00EE3D05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</w:t>
            </w:r>
            <w:r w:rsidR="00BD082A" w:rsidRPr="00EE3D05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oteikumu projekts laikā no </w:t>
            </w:r>
            <w:r w:rsidR="00BD082A" w:rsidRPr="00EE3D05">
              <w:rPr>
                <w:rFonts w:eastAsia="Times New Roman" w:cs="Times New Roman"/>
                <w:sz w:val="26"/>
                <w:szCs w:val="26"/>
                <w:lang w:eastAsia="lv-LV"/>
              </w:rPr>
              <w:t>202</w:t>
            </w:r>
            <w:r w:rsidR="00AC4C6B">
              <w:rPr>
                <w:rFonts w:eastAsia="Times New Roman" w:cs="Times New Roman"/>
                <w:sz w:val="26"/>
                <w:szCs w:val="26"/>
                <w:lang w:eastAsia="lv-LV"/>
              </w:rPr>
              <w:t>6</w:t>
            </w:r>
            <w:r w:rsidR="00BD082A" w:rsidRPr="00EE3D05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. gada </w:t>
            </w:r>
            <w:r w:rsidR="00AC4C6B">
              <w:rPr>
                <w:rFonts w:eastAsia="Times New Roman" w:cs="Times New Roman"/>
                <w:sz w:val="26"/>
                <w:szCs w:val="26"/>
                <w:lang w:eastAsia="lv-LV"/>
              </w:rPr>
              <w:t>…</w:t>
            </w:r>
            <w:r w:rsidR="00C634E3" w:rsidRPr="00EE3D05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līdz</w:t>
            </w:r>
            <w:r w:rsidR="00C82A20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</w:t>
            </w:r>
            <w:r w:rsidR="00AC4C6B">
              <w:rPr>
                <w:rFonts w:eastAsia="Times New Roman" w:cs="Times New Roman"/>
                <w:sz w:val="26"/>
                <w:szCs w:val="26"/>
                <w:lang w:eastAsia="lv-LV"/>
              </w:rPr>
              <w:t>….</w:t>
            </w:r>
            <w:r w:rsidR="00BD082A" w:rsidRPr="00EE3D05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</w:t>
            </w:r>
            <w:r w:rsidR="00C634E3" w:rsidRPr="00EE3D05">
              <w:rPr>
                <w:rFonts w:eastAsia="Times New Roman" w:cs="Times New Roman"/>
                <w:sz w:val="26"/>
                <w:szCs w:val="26"/>
                <w:lang w:eastAsia="lv-LV"/>
              </w:rPr>
              <w:t>(</w:t>
            </w:r>
            <w:r w:rsidR="00331E50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trīs </w:t>
            </w:r>
            <w:r w:rsidR="00BD082A" w:rsidRPr="00EE3D05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nedēļas</w:t>
            </w:r>
            <w:r w:rsidR="00C634E3" w:rsidRPr="00EE3D05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>)</w:t>
            </w:r>
            <w:r w:rsidR="00BD082A" w:rsidRPr="00EE3D05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publicēts pašvaldības oficiālajā tīmekļvietnē</w:t>
            </w:r>
            <w:r w:rsidR="00C634E3" w:rsidRPr="00EE3D05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(www.riga.lv)</w:t>
            </w:r>
            <w:r w:rsidR="00BD082A" w:rsidRPr="00EE3D05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sabiedrības viedokļa noskaidrošanai.</w:t>
            </w:r>
            <w:r w:rsidR="00C64CD0" w:rsidRPr="00EE3D05">
              <w:rPr>
                <w:rFonts w:eastAsia="Times New Roman" w:cs="Times New Roman"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</w:p>
        </w:tc>
      </w:tr>
    </w:tbl>
    <w:p w14:paraId="671CDA79" w14:textId="77777777" w:rsidR="00BD082A" w:rsidRPr="00EE3D05" w:rsidRDefault="00BD082A" w:rsidP="00BD082A">
      <w:pPr>
        <w:spacing w:line="240" w:lineRule="auto"/>
        <w:rPr>
          <w:rFonts w:cs="Times New Roman"/>
          <w:sz w:val="26"/>
          <w:szCs w:val="26"/>
        </w:rPr>
      </w:pPr>
    </w:p>
    <w:p w14:paraId="58F638BC" w14:textId="07D69D9A" w:rsidR="00BD082A" w:rsidRPr="00EE3D05" w:rsidRDefault="00BD082A" w:rsidP="00BD082A">
      <w:pPr>
        <w:spacing w:line="240" w:lineRule="auto"/>
        <w:rPr>
          <w:rFonts w:cs="Times New Roman"/>
          <w:sz w:val="26"/>
          <w:szCs w:val="26"/>
        </w:rPr>
      </w:pPr>
      <w:r w:rsidRPr="00EE3D05">
        <w:rPr>
          <w:rFonts w:cs="Times New Roman"/>
          <w:sz w:val="26"/>
          <w:szCs w:val="26"/>
        </w:rPr>
        <w:t xml:space="preserve">Rīgas domes priekšsēdētājs </w:t>
      </w:r>
      <w:r w:rsidRPr="00EE3D05">
        <w:rPr>
          <w:rFonts w:cs="Times New Roman"/>
          <w:sz w:val="26"/>
          <w:szCs w:val="26"/>
        </w:rPr>
        <w:tab/>
      </w:r>
      <w:r w:rsidRPr="00EE3D05">
        <w:rPr>
          <w:rFonts w:cs="Times New Roman"/>
          <w:sz w:val="26"/>
          <w:szCs w:val="26"/>
        </w:rPr>
        <w:tab/>
      </w:r>
      <w:r w:rsidRPr="00EE3D05">
        <w:rPr>
          <w:rFonts w:cs="Times New Roman"/>
          <w:sz w:val="26"/>
          <w:szCs w:val="26"/>
        </w:rPr>
        <w:tab/>
      </w:r>
      <w:r w:rsidRPr="00EE3D05">
        <w:rPr>
          <w:rFonts w:cs="Times New Roman"/>
          <w:sz w:val="26"/>
          <w:szCs w:val="26"/>
        </w:rPr>
        <w:tab/>
      </w:r>
      <w:r w:rsidRPr="00EE3D05">
        <w:rPr>
          <w:rFonts w:cs="Times New Roman"/>
          <w:sz w:val="26"/>
          <w:szCs w:val="26"/>
        </w:rPr>
        <w:tab/>
        <w:t xml:space="preserve">V. </w:t>
      </w:r>
      <w:r w:rsidR="00AC4C6B">
        <w:rPr>
          <w:rFonts w:cs="Times New Roman"/>
          <w:sz w:val="26"/>
          <w:szCs w:val="26"/>
        </w:rPr>
        <w:t>Kleinbergs</w:t>
      </w:r>
    </w:p>
    <w:p w14:paraId="28198534" w14:textId="77777777" w:rsidR="00F81C16" w:rsidRDefault="00F81C16">
      <w:pPr>
        <w:rPr>
          <w:rFonts w:cs="Times New Roman"/>
          <w:sz w:val="26"/>
          <w:szCs w:val="26"/>
        </w:rPr>
      </w:pPr>
    </w:p>
    <w:p w14:paraId="4282D944" w14:textId="77777777" w:rsidR="002B492D" w:rsidRPr="00EE3D05" w:rsidRDefault="002B492D">
      <w:pPr>
        <w:rPr>
          <w:rFonts w:cs="Times New Roman"/>
          <w:sz w:val="26"/>
          <w:szCs w:val="26"/>
        </w:rPr>
      </w:pPr>
    </w:p>
    <w:sectPr w:rsidR="002B492D" w:rsidRPr="00EE3D0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433B" w14:textId="77777777" w:rsidR="00156ACD" w:rsidRDefault="00156ACD" w:rsidP="00CF69C5">
      <w:pPr>
        <w:spacing w:line="240" w:lineRule="auto"/>
      </w:pPr>
      <w:r>
        <w:separator/>
      </w:r>
    </w:p>
  </w:endnote>
  <w:endnote w:type="continuationSeparator" w:id="0">
    <w:p w14:paraId="40034596" w14:textId="77777777" w:rsidR="00156ACD" w:rsidRDefault="00156ACD" w:rsidP="00CF6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338276"/>
      <w:docPartObj>
        <w:docPartGallery w:val="Page Numbers (Bottom of Page)"/>
        <w:docPartUnique/>
      </w:docPartObj>
    </w:sdtPr>
    <w:sdtContent>
      <w:p w14:paraId="424639EE" w14:textId="32659E79" w:rsidR="00CF69C5" w:rsidRDefault="00CF69C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C6BADA" w14:textId="77777777" w:rsidR="00CF69C5" w:rsidRDefault="00CF69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1ABE" w14:textId="77777777" w:rsidR="00156ACD" w:rsidRDefault="00156ACD" w:rsidP="00CF69C5">
      <w:pPr>
        <w:spacing w:line="240" w:lineRule="auto"/>
      </w:pPr>
      <w:r>
        <w:separator/>
      </w:r>
    </w:p>
  </w:footnote>
  <w:footnote w:type="continuationSeparator" w:id="0">
    <w:p w14:paraId="7B6F688A" w14:textId="77777777" w:rsidR="00156ACD" w:rsidRDefault="00156ACD" w:rsidP="00CF69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64B94"/>
    <w:multiLevelType w:val="multilevel"/>
    <w:tmpl w:val="A93041A2"/>
    <w:lvl w:ilvl="0">
      <w:start w:val="1"/>
      <w:numFmt w:val="decimal"/>
      <w:lvlText w:val="%1."/>
      <w:lvlJc w:val="left"/>
      <w:pPr>
        <w:ind w:left="32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8" w:hanging="1800"/>
      </w:pPr>
      <w:rPr>
        <w:rFonts w:hint="default"/>
      </w:rPr>
    </w:lvl>
  </w:abstractNum>
  <w:abstractNum w:abstractNumId="1" w15:restartNumberingAfterBreak="0">
    <w:nsid w:val="44006EA7"/>
    <w:multiLevelType w:val="hybridMultilevel"/>
    <w:tmpl w:val="40A2D85E"/>
    <w:lvl w:ilvl="0" w:tplc="43D6C816">
      <w:start w:val="1"/>
      <w:numFmt w:val="bullet"/>
      <w:lvlText w:val="•"/>
      <w:lvlJc w:val="left"/>
      <w:pPr>
        <w:ind w:left="720" w:hanging="360"/>
      </w:pPr>
      <w:rPr>
        <w:rFonts w:ascii="Verdana" w:hAnsi="Verdana" w:cs="Verdana" w:hint="default"/>
        <w:color w:val="94D6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56B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FF30CF"/>
    <w:multiLevelType w:val="hybridMultilevel"/>
    <w:tmpl w:val="FE70A76C"/>
    <w:lvl w:ilvl="0" w:tplc="43D6C816">
      <w:start w:val="1"/>
      <w:numFmt w:val="bullet"/>
      <w:lvlText w:val="•"/>
      <w:lvlJc w:val="left"/>
      <w:pPr>
        <w:ind w:left="720" w:hanging="360"/>
      </w:pPr>
      <w:rPr>
        <w:rFonts w:ascii="Verdana" w:hAnsi="Verdana" w:cs="Verdana" w:hint="default"/>
        <w:color w:val="94D6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B7827"/>
    <w:multiLevelType w:val="hybridMultilevel"/>
    <w:tmpl w:val="14DCC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33E6"/>
    <w:multiLevelType w:val="hybridMultilevel"/>
    <w:tmpl w:val="1E2A7FAE"/>
    <w:lvl w:ilvl="0" w:tplc="43D6C816">
      <w:start w:val="1"/>
      <w:numFmt w:val="bullet"/>
      <w:lvlText w:val="•"/>
      <w:lvlJc w:val="left"/>
      <w:pPr>
        <w:ind w:left="720" w:hanging="360"/>
      </w:pPr>
      <w:rPr>
        <w:rFonts w:ascii="Verdana" w:hAnsi="Verdana" w:cs="Verdana" w:hint="default"/>
        <w:color w:val="94D6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938161">
    <w:abstractNumId w:val="0"/>
  </w:num>
  <w:num w:numId="2" w16cid:durableId="1629628105">
    <w:abstractNumId w:val="4"/>
  </w:num>
  <w:num w:numId="3" w16cid:durableId="1193571604">
    <w:abstractNumId w:val="2"/>
  </w:num>
  <w:num w:numId="4" w16cid:durableId="1174152074">
    <w:abstractNumId w:val="1"/>
  </w:num>
  <w:num w:numId="5" w16cid:durableId="1056006854">
    <w:abstractNumId w:val="3"/>
  </w:num>
  <w:num w:numId="6" w16cid:durableId="1611930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2A"/>
    <w:rsid w:val="000059AD"/>
    <w:rsid w:val="00007286"/>
    <w:rsid w:val="00023C3C"/>
    <w:rsid w:val="000272E4"/>
    <w:rsid w:val="00030847"/>
    <w:rsid w:val="000317F0"/>
    <w:rsid w:val="000324D2"/>
    <w:rsid w:val="000362F9"/>
    <w:rsid w:val="000408BC"/>
    <w:rsid w:val="00041291"/>
    <w:rsid w:val="00045CE4"/>
    <w:rsid w:val="000563D6"/>
    <w:rsid w:val="00065FAD"/>
    <w:rsid w:val="000A4B04"/>
    <w:rsid w:val="000C6FC4"/>
    <w:rsid w:val="000D6A36"/>
    <w:rsid w:val="000E49E6"/>
    <w:rsid w:val="000E6CBA"/>
    <w:rsid w:val="00120068"/>
    <w:rsid w:val="00125CEB"/>
    <w:rsid w:val="00134D7E"/>
    <w:rsid w:val="001367DC"/>
    <w:rsid w:val="00136995"/>
    <w:rsid w:val="00137171"/>
    <w:rsid w:val="00141239"/>
    <w:rsid w:val="00144635"/>
    <w:rsid w:val="00156ACD"/>
    <w:rsid w:val="001614B4"/>
    <w:rsid w:val="001B0564"/>
    <w:rsid w:val="001B5B43"/>
    <w:rsid w:val="001D2822"/>
    <w:rsid w:val="001D421F"/>
    <w:rsid w:val="001D67DF"/>
    <w:rsid w:val="001E3073"/>
    <w:rsid w:val="002143FB"/>
    <w:rsid w:val="0021673A"/>
    <w:rsid w:val="00217CDF"/>
    <w:rsid w:val="00226F21"/>
    <w:rsid w:val="00240F35"/>
    <w:rsid w:val="002657A3"/>
    <w:rsid w:val="00274FCF"/>
    <w:rsid w:val="002756D2"/>
    <w:rsid w:val="00277A8E"/>
    <w:rsid w:val="00291E9D"/>
    <w:rsid w:val="002B33F2"/>
    <w:rsid w:val="002B344A"/>
    <w:rsid w:val="002B492D"/>
    <w:rsid w:val="002B5B99"/>
    <w:rsid w:val="002E73A5"/>
    <w:rsid w:val="00303D51"/>
    <w:rsid w:val="00305686"/>
    <w:rsid w:val="0032372E"/>
    <w:rsid w:val="00326C67"/>
    <w:rsid w:val="00331E50"/>
    <w:rsid w:val="00342E5D"/>
    <w:rsid w:val="00367E95"/>
    <w:rsid w:val="00370F2F"/>
    <w:rsid w:val="00373A35"/>
    <w:rsid w:val="003919BD"/>
    <w:rsid w:val="00395CE8"/>
    <w:rsid w:val="00395EED"/>
    <w:rsid w:val="003A2F47"/>
    <w:rsid w:val="003A6AB6"/>
    <w:rsid w:val="003B120B"/>
    <w:rsid w:val="003B6D4A"/>
    <w:rsid w:val="003D4C33"/>
    <w:rsid w:val="00432567"/>
    <w:rsid w:val="004408AF"/>
    <w:rsid w:val="00442C8C"/>
    <w:rsid w:val="0047076D"/>
    <w:rsid w:val="00477A5A"/>
    <w:rsid w:val="004A4932"/>
    <w:rsid w:val="004B427F"/>
    <w:rsid w:val="004B4F03"/>
    <w:rsid w:val="004B7242"/>
    <w:rsid w:val="004D55AB"/>
    <w:rsid w:val="004E0493"/>
    <w:rsid w:val="004F0908"/>
    <w:rsid w:val="00514DB3"/>
    <w:rsid w:val="00522881"/>
    <w:rsid w:val="00526F10"/>
    <w:rsid w:val="005364A5"/>
    <w:rsid w:val="00541058"/>
    <w:rsid w:val="00544F59"/>
    <w:rsid w:val="00545EE6"/>
    <w:rsid w:val="005621C2"/>
    <w:rsid w:val="00584572"/>
    <w:rsid w:val="00585B36"/>
    <w:rsid w:val="005A12F1"/>
    <w:rsid w:val="005C0ED8"/>
    <w:rsid w:val="005C16DD"/>
    <w:rsid w:val="005C25B4"/>
    <w:rsid w:val="005C5A20"/>
    <w:rsid w:val="005D30B7"/>
    <w:rsid w:val="005D58C2"/>
    <w:rsid w:val="005E35D6"/>
    <w:rsid w:val="0060621E"/>
    <w:rsid w:val="00611CC8"/>
    <w:rsid w:val="00615617"/>
    <w:rsid w:val="006203EA"/>
    <w:rsid w:val="0063606E"/>
    <w:rsid w:val="00651A3F"/>
    <w:rsid w:val="00654C55"/>
    <w:rsid w:val="00671A2F"/>
    <w:rsid w:val="00684DB2"/>
    <w:rsid w:val="00685DDC"/>
    <w:rsid w:val="006A60FF"/>
    <w:rsid w:val="006B01E0"/>
    <w:rsid w:val="006B5E54"/>
    <w:rsid w:val="006B6983"/>
    <w:rsid w:val="006C6537"/>
    <w:rsid w:val="006D54F9"/>
    <w:rsid w:val="006F2862"/>
    <w:rsid w:val="006F78DE"/>
    <w:rsid w:val="007019EB"/>
    <w:rsid w:val="00701FBE"/>
    <w:rsid w:val="0071096A"/>
    <w:rsid w:val="007351F6"/>
    <w:rsid w:val="00735921"/>
    <w:rsid w:val="00737B8C"/>
    <w:rsid w:val="0075327B"/>
    <w:rsid w:val="0077131C"/>
    <w:rsid w:val="00772145"/>
    <w:rsid w:val="007757BA"/>
    <w:rsid w:val="00781446"/>
    <w:rsid w:val="00783369"/>
    <w:rsid w:val="00784355"/>
    <w:rsid w:val="00790A9F"/>
    <w:rsid w:val="007919E3"/>
    <w:rsid w:val="007A7DDE"/>
    <w:rsid w:val="007B7DD2"/>
    <w:rsid w:val="007C1E4F"/>
    <w:rsid w:val="00800CB9"/>
    <w:rsid w:val="008440B0"/>
    <w:rsid w:val="008654AE"/>
    <w:rsid w:val="0086602B"/>
    <w:rsid w:val="008810E5"/>
    <w:rsid w:val="00884B73"/>
    <w:rsid w:val="008A1A97"/>
    <w:rsid w:val="008B53DB"/>
    <w:rsid w:val="008C3FB8"/>
    <w:rsid w:val="008C7D7F"/>
    <w:rsid w:val="008F4D13"/>
    <w:rsid w:val="009142C9"/>
    <w:rsid w:val="00925AB3"/>
    <w:rsid w:val="00936C45"/>
    <w:rsid w:val="009437AC"/>
    <w:rsid w:val="00952116"/>
    <w:rsid w:val="0096633A"/>
    <w:rsid w:val="00975983"/>
    <w:rsid w:val="009821B5"/>
    <w:rsid w:val="00987597"/>
    <w:rsid w:val="00990FC0"/>
    <w:rsid w:val="009949D8"/>
    <w:rsid w:val="009B0140"/>
    <w:rsid w:val="009E37A5"/>
    <w:rsid w:val="009F18B2"/>
    <w:rsid w:val="009F718C"/>
    <w:rsid w:val="00A01CB9"/>
    <w:rsid w:val="00A115C0"/>
    <w:rsid w:val="00A142B0"/>
    <w:rsid w:val="00A20FC5"/>
    <w:rsid w:val="00A2173D"/>
    <w:rsid w:val="00A25991"/>
    <w:rsid w:val="00A26626"/>
    <w:rsid w:val="00A365C3"/>
    <w:rsid w:val="00A41BBE"/>
    <w:rsid w:val="00A53FE4"/>
    <w:rsid w:val="00A54FB8"/>
    <w:rsid w:val="00A63DDC"/>
    <w:rsid w:val="00A87FFC"/>
    <w:rsid w:val="00A929C1"/>
    <w:rsid w:val="00AB705E"/>
    <w:rsid w:val="00AC4C6B"/>
    <w:rsid w:val="00AC506C"/>
    <w:rsid w:val="00AD0B3F"/>
    <w:rsid w:val="00AD1184"/>
    <w:rsid w:val="00AD29C2"/>
    <w:rsid w:val="00AD38B6"/>
    <w:rsid w:val="00AE4005"/>
    <w:rsid w:val="00AF332A"/>
    <w:rsid w:val="00B05ABF"/>
    <w:rsid w:val="00B22326"/>
    <w:rsid w:val="00B42E9C"/>
    <w:rsid w:val="00B445E0"/>
    <w:rsid w:val="00B45688"/>
    <w:rsid w:val="00B56677"/>
    <w:rsid w:val="00B62758"/>
    <w:rsid w:val="00B635CA"/>
    <w:rsid w:val="00B74A6F"/>
    <w:rsid w:val="00BA0AB8"/>
    <w:rsid w:val="00BA4AA8"/>
    <w:rsid w:val="00BC0E54"/>
    <w:rsid w:val="00BD082A"/>
    <w:rsid w:val="00BE4E41"/>
    <w:rsid w:val="00BE784E"/>
    <w:rsid w:val="00C060C6"/>
    <w:rsid w:val="00C150B7"/>
    <w:rsid w:val="00C1609C"/>
    <w:rsid w:val="00C36883"/>
    <w:rsid w:val="00C5140C"/>
    <w:rsid w:val="00C634E3"/>
    <w:rsid w:val="00C64CD0"/>
    <w:rsid w:val="00C76E51"/>
    <w:rsid w:val="00C76EF6"/>
    <w:rsid w:val="00C82A20"/>
    <w:rsid w:val="00C835DF"/>
    <w:rsid w:val="00C84557"/>
    <w:rsid w:val="00C86E5D"/>
    <w:rsid w:val="00CA1C58"/>
    <w:rsid w:val="00CA4E4F"/>
    <w:rsid w:val="00CB0829"/>
    <w:rsid w:val="00CD159F"/>
    <w:rsid w:val="00CE295D"/>
    <w:rsid w:val="00CF0CEE"/>
    <w:rsid w:val="00CF5764"/>
    <w:rsid w:val="00CF69C5"/>
    <w:rsid w:val="00D03567"/>
    <w:rsid w:val="00D47F20"/>
    <w:rsid w:val="00D52F86"/>
    <w:rsid w:val="00D60371"/>
    <w:rsid w:val="00D81D70"/>
    <w:rsid w:val="00DC3156"/>
    <w:rsid w:val="00E0025C"/>
    <w:rsid w:val="00E002A9"/>
    <w:rsid w:val="00E058EC"/>
    <w:rsid w:val="00E16470"/>
    <w:rsid w:val="00E17911"/>
    <w:rsid w:val="00E23EE1"/>
    <w:rsid w:val="00E24A41"/>
    <w:rsid w:val="00E275A5"/>
    <w:rsid w:val="00E27A48"/>
    <w:rsid w:val="00E3049C"/>
    <w:rsid w:val="00E3151B"/>
    <w:rsid w:val="00E35D2F"/>
    <w:rsid w:val="00E47076"/>
    <w:rsid w:val="00E51086"/>
    <w:rsid w:val="00E6780C"/>
    <w:rsid w:val="00EA14ED"/>
    <w:rsid w:val="00EA45AE"/>
    <w:rsid w:val="00EB23D1"/>
    <w:rsid w:val="00EC0429"/>
    <w:rsid w:val="00ED03EC"/>
    <w:rsid w:val="00ED7387"/>
    <w:rsid w:val="00EE3D05"/>
    <w:rsid w:val="00F14DA8"/>
    <w:rsid w:val="00F1582F"/>
    <w:rsid w:val="00F17759"/>
    <w:rsid w:val="00F2243A"/>
    <w:rsid w:val="00F24A70"/>
    <w:rsid w:val="00F26D45"/>
    <w:rsid w:val="00F30E90"/>
    <w:rsid w:val="00F34140"/>
    <w:rsid w:val="00F42AB2"/>
    <w:rsid w:val="00F43B89"/>
    <w:rsid w:val="00F50932"/>
    <w:rsid w:val="00F64105"/>
    <w:rsid w:val="00F75B82"/>
    <w:rsid w:val="00F81C16"/>
    <w:rsid w:val="00F834A7"/>
    <w:rsid w:val="00F8409E"/>
    <w:rsid w:val="00FC1DC8"/>
    <w:rsid w:val="00FD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913A2"/>
  <w15:chartTrackingRefBased/>
  <w15:docId w15:val="{1C6D0C72-027B-4F76-B3D0-40EA3790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D082A"/>
    <w:pPr>
      <w:spacing w:after="0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nhideWhenUsed/>
    <w:rsid w:val="00BD082A"/>
    <w:rPr>
      <w:color w:val="0000FF"/>
      <w:u w:val="single"/>
    </w:rPr>
  </w:style>
  <w:style w:type="paragraph" w:customStyle="1" w:styleId="tv213">
    <w:name w:val="tv213"/>
    <w:basedOn w:val="Parasts"/>
    <w:rsid w:val="00BD082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paragraph" w:styleId="Sarakstarindkopa">
    <w:name w:val="List Paragraph"/>
    <w:aliases w:val="2,ADB paragraph numbering,Bullet list,CV Bullet 3,Citation List,Graphic,H&amp;P List Paragraph,List Paragraph1,Normal bullet 2,Numurets,PPS_Bullet,Resume Title,Saistīto dokumentu saraksts,Strip,Syle 1,Table of contents numbered,Virsraksti"/>
    <w:basedOn w:val="Parasts"/>
    <w:link w:val="SarakstarindkopaRakstz"/>
    <w:uiPriority w:val="34"/>
    <w:qFormat/>
    <w:rsid w:val="00EA45AE"/>
    <w:pPr>
      <w:spacing w:after="160"/>
      <w:ind w:left="720"/>
      <w:contextualSpacing/>
    </w:pPr>
    <w:rPr>
      <w:rFonts w:asciiTheme="minorHAnsi" w:hAnsiTheme="minorHAnsi"/>
      <w:sz w:val="22"/>
    </w:rPr>
  </w:style>
  <w:style w:type="paragraph" w:styleId="Galvene">
    <w:name w:val="header"/>
    <w:basedOn w:val="Parasts"/>
    <w:link w:val="GalveneRakstz"/>
    <w:uiPriority w:val="99"/>
    <w:unhideWhenUsed/>
    <w:rsid w:val="00CF69C5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F69C5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CF69C5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F69C5"/>
    <w:rPr>
      <w:rFonts w:ascii="Times New Roman" w:hAnsi="Times New Roman"/>
      <w:sz w:val="24"/>
    </w:rPr>
  </w:style>
  <w:style w:type="paragraph" w:styleId="Prskatjums">
    <w:name w:val="Revision"/>
    <w:hidden/>
    <w:uiPriority w:val="99"/>
    <w:semiHidden/>
    <w:rsid w:val="00E27A48"/>
    <w:pPr>
      <w:spacing w:after="0" w:line="240" w:lineRule="auto"/>
    </w:pPr>
    <w:rPr>
      <w:rFonts w:ascii="Times New Roman" w:hAnsi="Times New Roman"/>
      <w:sz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1BB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1BB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1BBE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1BB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1BBE"/>
    <w:rPr>
      <w:rFonts w:ascii="Times New Roman" w:hAnsi="Times New Roman"/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E37A5"/>
    <w:rPr>
      <w:color w:val="605E5C"/>
      <w:shd w:val="clear" w:color="auto" w:fill="E1DFDD"/>
    </w:rPr>
  </w:style>
  <w:style w:type="character" w:customStyle="1" w:styleId="body1">
    <w:name w:val="body1"/>
    <w:rsid w:val="00A54FB8"/>
    <w:rPr>
      <w:rFonts w:ascii="Verdana" w:hAnsi="Verdana" w:hint="default"/>
      <w:color w:val="000000"/>
      <w:sz w:val="14"/>
      <w:szCs w:val="14"/>
    </w:rPr>
  </w:style>
  <w:style w:type="paragraph" w:styleId="Vresteksts">
    <w:name w:val="footnote text"/>
    <w:basedOn w:val="Parasts"/>
    <w:link w:val="VrestekstsRakstz"/>
    <w:uiPriority w:val="99"/>
    <w:unhideWhenUsed/>
    <w:rsid w:val="00A54FB8"/>
    <w:pPr>
      <w:widowControl w:val="0"/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A54FB8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A54FB8"/>
    <w:rPr>
      <w:vertAlign w:val="superscript"/>
    </w:rPr>
  </w:style>
  <w:style w:type="character" w:styleId="Izclums">
    <w:name w:val="Emphasis"/>
    <w:basedOn w:val="Noklusjumarindkopasfonts"/>
    <w:uiPriority w:val="20"/>
    <w:qFormat/>
    <w:rsid w:val="008F4D13"/>
    <w:rPr>
      <w:i/>
      <w:iCs/>
    </w:rPr>
  </w:style>
  <w:style w:type="character" w:customStyle="1" w:styleId="SarakstarindkopaRakstz">
    <w:name w:val="Saraksta rindkopa Rakstz."/>
    <w:aliases w:val="2 Rakstz.,ADB paragraph numbering Rakstz.,Bullet list Rakstz.,CV Bullet 3 Rakstz.,Citation List Rakstz.,Graphic Rakstz.,H&amp;P List Paragraph Rakstz.,List Paragraph1 Rakstz.,Normal bullet 2 Rakstz.,Numurets Rakstz.,Strip Rakstz."/>
    <w:link w:val="Sarakstarindkopa"/>
    <w:uiPriority w:val="34"/>
    <w:qFormat/>
    <w:rsid w:val="0054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15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300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47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06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360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648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CA8C3-5CE1-4E68-9EA6-F160D4B6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3272</Words>
  <Characters>1866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Liepiņš</dc:creator>
  <cp:keywords/>
  <dc:description/>
  <cp:lastModifiedBy>Viktorija Belerte</cp:lastModifiedBy>
  <cp:revision>47</cp:revision>
  <cp:lastPrinted>2025-03-04T13:21:00Z</cp:lastPrinted>
  <dcterms:created xsi:type="dcterms:W3CDTF">2024-01-22T12:56:00Z</dcterms:created>
  <dcterms:modified xsi:type="dcterms:W3CDTF">2026-01-12T12:23:00Z</dcterms:modified>
</cp:coreProperties>
</file>