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21"/>
      </w:tblGrid>
      <w:tr w:rsidR="002A0C64" w14:paraId="7A5E4133" w14:textId="77777777" w:rsidTr="00E302CC">
        <w:trPr>
          <w:jc w:val="right"/>
        </w:trPr>
        <w:tc>
          <w:tcPr>
            <w:tcW w:w="8221" w:type="dxa"/>
          </w:tcPr>
          <w:p w14:paraId="3B2AF74E" w14:textId="77777777" w:rsidR="0032030C" w:rsidRPr="00FE067A" w:rsidRDefault="00000000" w:rsidP="00320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7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  <w:t>#PROJEKTS#</w:t>
            </w:r>
          </w:p>
        </w:tc>
      </w:tr>
      <w:tr w:rsidR="002A0C64" w14:paraId="2BEA2A14" w14:textId="77777777" w:rsidTr="00FB2B2D">
        <w:trPr>
          <w:jc w:val="right"/>
        </w:trPr>
        <w:tc>
          <w:tcPr>
            <w:tcW w:w="8221" w:type="dxa"/>
          </w:tcPr>
          <w:p w14:paraId="0CF847E1" w14:textId="77777777" w:rsidR="0032030C" w:rsidRPr="00FE067A" w:rsidRDefault="00000000" w:rsidP="00320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67A">
              <w:rPr>
                <w:rFonts w:ascii="Times New Roman" w:eastAsia="Times New Roman" w:hAnsi="Times New Roman" w:cs="Times New Roman"/>
                <w:sz w:val="24"/>
                <w:szCs w:val="24"/>
              </w:rPr>
              <w:t>#REG_DATUMS# projekts Nr.#REG_NUMURS#</w:t>
            </w:r>
          </w:p>
        </w:tc>
      </w:tr>
    </w:tbl>
    <w:p w14:paraId="515D029A" w14:textId="77777777" w:rsidR="00FE067A" w:rsidRPr="00FE067A" w:rsidRDefault="00FE067A" w:rsidP="00FE0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39B6C4" w14:textId="77777777" w:rsidR="000933F8" w:rsidRPr="007D5BD7" w:rsidRDefault="00000000" w:rsidP="000933F8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</w:rPr>
        <w:drawing>
          <wp:inline distT="0" distB="0" distL="0" distR="0" wp14:anchorId="6826301B" wp14:editId="1C106D41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581D3" w14:textId="77777777" w:rsidR="00C95C98" w:rsidRPr="007D5BD7" w:rsidRDefault="00000000" w:rsidP="00701A1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  <w:r w:rsidRPr="007D5BD7">
        <w:rPr>
          <w:rFonts w:ascii="Times New Roman" w:eastAsia="Times New Roman" w:hAnsi="Times New Roman" w:cs="Times New Roman"/>
          <w:sz w:val="27"/>
          <w:szCs w:val="27"/>
          <w:lang w:eastAsia="lv-LV"/>
        </w:rPr>
        <w:t>RĪGAS DOME</w:t>
      </w:r>
    </w:p>
    <w:p w14:paraId="0EF268FA" w14:textId="77777777" w:rsidR="00C95C98" w:rsidRPr="007D5BD7" w:rsidRDefault="00000000" w:rsidP="00C95C98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D5BD7">
        <w:rPr>
          <w:rFonts w:ascii="Times New Roman" w:eastAsia="Times New Roman" w:hAnsi="Times New Roman" w:cs="Times New Roman"/>
        </w:rPr>
        <w:t>Rātslaukums 1, Rīga, LV-1</w:t>
      </w:r>
      <w:r w:rsidR="008F4F10">
        <w:rPr>
          <w:rFonts w:ascii="Times New Roman" w:eastAsia="Times New Roman" w:hAnsi="Times New Roman" w:cs="Times New Roman"/>
        </w:rPr>
        <w:t>050</w:t>
      </w:r>
      <w:r w:rsidRPr="007D5BD7">
        <w:rPr>
          <w:rFonts w:ascii="Times New Roman" w:eastAsia="Times New Roman" w:hAnsi="Times New Roman" w:cs="Times New Roman"/>
        </w:rPr>
        <w:t>, tālrunis 67012222, e-pasts: riga@riga.lv</w:t>
      </w:r>
    </w:p>
    <w:p w14:paraId="04B1F2D3" w14:textId="77777777" w:rsidR="00C95C98" w:rsidRPr="007D5BD7" w:rsidRDefault="00C95C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</w:p>
    <w:p w14:paraId="39BD3E60" w14:textId="77777777" w:rsidR="00C95C98" w:rsidRPr="007D5BD7" w:rsidRDefault="00000000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  <w:t>saistošie noteikumi</w:t>
      </w:r>
    </w:p>
    <w:p w14:paraId="2C0ECBC8" w14:textId="77777777" w:rsidR="00C95C98" w:rsidRPr="007D5BD7" w:rsidRDefault="00000000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2A0C64" w14:paraId="5A7CE9B5" w14:textId="77777777" w:rsidTr="00B00798">
        <w:tc>
          <w:tcPr>
            <w:tcW w:w="4327" w:type="dxa"/>
            <w:vAlign w:val="bottom"/>
          </w:tcPr>
          <w:p w14:paraId="4EAC8881" w14:textId="77777777" w:rsidR="00AB5B49" w:rsidRPr="007D5BD7" w:rsidRDefault="00000000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#SEDES_NORISES_DATUMS_V_L#</w:t>
            </w:r>
          </w:p>
        </w:tc>
        <w:tc>
          <w:tcPr>
            <w:tcW w:w="5387" w:type="dxa"/>
            <w:vAlign w:val="bottom"/>
          </w:tcPr>
          <w:p w14:paraId="4BFD9654" w14:textId="77777777" w:rsidR="00AB5B49" w:rsidRPr="007D5BD7" w:rsidRDefault="00000000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Nr. 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#LEMUMA_NUMURS#</w:t>
            </w:r>
          </w:p>
        </w:tc>
      </w:tr>
      <w:tr w:rsidR="002A0C64" w14:paraId="215A8ECF" w14:textId="77777777" w:rsidTr="00B00798">
        <w:tc>
          <w:tcPr>
            <w:tcW w:w="4327" w:type="dxa"/>
            <w:vAlign w:val="bottom"/>
          </w:tcPr>
          <w:p w14:paraId="051EB2C1" w14:textId="77777777" w:rsidR="00AB5B49" w:rsidRPr="007D5BD7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05BC3C1B" w14:textId="77777777" w:rsidR="00AB5B49" w:rsidRPr="007D5BD7" w:rsidRDefault="00000000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(prot. Nr.</w:t>
            </w:r>
            <w:r w:rsidR="00453A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#SEDES_NR#, §)</w:t>
            </w:r>
          </w:p>
        </w:tc>
      </w:tr>
    </w:tbl>
    <w:p w14:paraId="2A255B1D" w14:textId="77777777" w:rsidR="00AB5B49" w:rsidRDefault="00AB5B49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76253F0C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DF0B58F" w14:textId="77777777" w:rsidR="00C95C98" w:rsidRPr="007D5BD7" w:rsidRDefault="00000000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Par Rīgas valstspilsētas pašvaldības dzīvojamo telpu īres maksu</w:t>
      </w:r>
    </w:p>
    <w:p w14:paraId="6671EEB6" w14:textId="77777777" w:rsidR="008F6454" w:rsidRDefault="008F6454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3BDFAC10" w14:textId="77777777" w:rsidR="00BF6617" w:rsidRPr="007D5BD7" w:rsidRDefault="00BF6617" w:rsidP="00C559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ED8A387" w14:textId="77777777" w:rsidR="005B61F5" w:rsidRPr="005B61F5" w:rsidRDefault="00000000" w:rsidP="005B61F5">
      <w:pPr>
        <w:ind w:left="4820" w:firstLine="426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noProof/>
          <w:sz w:val="26"/>
          <w:szCs w:val="26"/>
        </w:rPr>
        <w:t>Izdoti saskaņā ar Pašvaldību likuma 4.panta pirmās daļas 10.punktu, Dzīvojamo telpu īres likuma 31.panta pirmo daļu, likuma “Par palīdzību dzīvokļa jautājumu risināšanā” 21.</w:t>
      </w:r>
      <w:r w:rsidRPr="005B61F5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</w:rPr>
        <w:t xml:space="preserve">9 </w:t>
      </w:r>
      <w:r w:rsidRPr="005B61F5">
        <w:rPr>
          <w:rFonts w:ascii="Times New Roman" w:eastAsia="Times New Roman" w:hAnsi="Times New Roman" w:cs="Times New Roman"/>
          <w:noProof/>
          <w:sz w:val="26"/>
          <w:szCs w:val="26"/>
        </w:rPr>
        <w:t>pantu</w:t>
      </w:r>
    </w:p>
    <w:p w14:paraId="280630FC" w14:textId="77777777" w:rsidR="008F6454" w:rsidRPr="007D5BD7" w:rsidRDefault="008F6454" w:rsidP="005B61F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1091FD34" w14:textId="77777777" w:rsidR="008F6454" w:rsidRPr="007D5BD7" w:rsidRDefault="008F6454" w:rsidP="008F64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4BAB7C92" w14:textId="77777777" w:rsidR="005B61F5" w:rsidRPr="005B61F5" w:rsidRDefault="00000000" w:rsidP="005B61F5">
      <w:pPr>
        <w:numPr>
          <w:ilvl w:val="0"/>
          <w:numId w:val="1"/>
        </w:numPr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Saistošie noteikumi nosaka Rīgas valstspilsētas pašvaldībai (turpmāk – pašvaldība) piederošas vai tās nomātas dzīvojamās telpas īres maksas (turpmāk – īres maksa) noteikšanas un paziņošanas kārtību. </w:t>
      </w:r>
    </w:p>
    <w:p w14:paraId="0CD6CE39" w14:textId="77777777" w:rsidR="005B61F5" w:rsidRPr="005B61F5" w:rsidRDefault="00000000" w:rsidP="005B61F5">
      <w:pPr>
        <w:numPr>
          <w:ilvl w:val="0"/>
          <w:numId w:val="1"/>
        </w:numPr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Īres maksu veido atlīdzība par dzīvojamās telpas lietošanu un ar dzīvojamās telpas vai sociālās dzīvojamās telpas lietošanu saistītie maksājumi. </w:t>
      </w:r>
    </w:p>
    <w:p w14:paraId="27B22ABD" w14:textId="77777777" w:rsidR="005B61F5" w:rsidRPr="005B61F5" w:rsidRDefault="00000000" w:rsidP="005B61F5">
      <w:pPr>
        <w:numPr>
          <w:ilvl w:val="0"/>
          <w:numId w:val="1"/>
        </w:numPr>
        <w:spacing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Atlīdzību par dzīvojamās telpas lietošanu par dzīvojamās telpas kvadrātmetru kalendārajā mēnesī aprēķina pēc šādas formulas:</w:t>
      </w:r>
    </w:p>
    <w:p w14:paraId="791E59D1" w14:textId="77777777" w:rsidR="005B61F5" w:rsidRPr="005B61F5" w:rsidRDefault="00000000" w:rsidP="005B61F5">
      <w:pPr>
        <w:spacing w:after="120" w:line="240" w:lineRule="auto"/>
        <w:ind w:firstLine="426"/>
        <w:jc w:val="center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Ī</w:t>
      </w:r>
      <w:r w:rsidRPr="005B61F5">
        <w:rPr>
          <w:rFonts w:ascii="Times New Roman" w:eastAsia="Times New Roman" w:hAnsi="Times New Roman" w:cs="Times New Roman"/>
          <w:sz w:val="26"/>
          <w:szCs w:val="26"/>
          <w:vertAlign w:val="subscript"/>
        </w:rPr>
        <w:t>m</w:t>
      </w: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 = (V</w:t>
      </w:r>
      <w:r w:rsidRPr="005B61F5">
        <w:rPr>
          <w:rFonts w:ascii="Times New Roman" w:eastAsia="Times New Roman" w:hAnsi="Times New Roman" w:cs="Times New Roman"/>
          <w:sz w:val="26"/>
          <w:szCs w:val="26"/>
          <w:vertAlign w:val="subscript"/>
        </w:rPr>
        <w:t>k</w:t>
      </w: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 x 2.5%)/12/dz.m</w:t>
      </w:r>
      <w:r w:rsidRPr="005B61F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5B61F5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1C6899DE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kur Ī</w:t>
      </w:r>
      <w:r w:rsidRPr="005B61F5">
        <w:rPr>
          <w:rFonts w:ascii="Times New Roman" w:eastAsia="Times New Roman" w:hAnsi="Times New Roman" w:cs="Times New Roman"/>
          <w:sz w:val="26"/>
          <w:szCs w:val="26"/>
          <w:vertAlign w:val="subscript"/>
        </w:rPr>
        <w:t>m</w:t>
      </w: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 – viena kvadrātmetra īres maksa, V</w:t>
      </w:r>
      <w:r w:rsidRPr="005B61F5">
        <w:rPr>
          <w:rFonts w:ascii="Times New Roman" w:eastAsia="Times New Roman" w:hAnsi="Times New Roman" w:cs="Times New Roman"/>
          <w:sz w:val="26"/>
          <w:szCs w:val="26"/>
          <w:vertAlign w:val="subscript"/>
        </w:rPr>
        <w:t>k</w:t>
      </w: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 – nekustamā īpašuma (dzīvojamās telpas) universālā kadastrālā vērtība, dz.m</w:t>
      </w:r>
      <w:r w:rsidRPr="005B61F5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2</w:t>
      </w: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 – dzīvojamās telpas kopējā platība kvadrātmetros.</w:t>
      </w:r>
    </w:p>
    <w:p w14:paraId="73E3A5B3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4. Sociālajai dzīvojamajai telpai netiek piemērota īres maksa.</w:t>
      </w:r>
    </w:p>
    <w:p w14:paraId="7F58ABE0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5. Ja </w:t>
      </w:r>
      <w:bookmarkStart w:id="0" w:name="_Hlk213487814"/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dzīvojamā telpa izīrēta, sniedzot palīdzību dzīvokļa jautājumu risināšanā </w:t>
      </w:r>
      <w:bookmarkEnd w:id="0"/>
      <w:r w:rsidRPr="005B61F5">
        <w:rPr>
          <w:rFonts w:ascii="Times New Roman" w:eastAsia="Times New Roman" w:hAnsi="Times New Roman" w:cs="Times New Roman"/>
          <w:sz w:val="26"/>
          <w:szCs w:val="26"/>
        </w:rPr>
        <w:t>gadījumos, kad atbilstoši normatīvajiem aktiem palīdzība ir sniedzama, izvērtējot ienākumu līmeni, un  īrnieks kārtējā gada decembrī ir atzīts par maznodrošinātu personu, īres maksai nākamajam gadam tiek noteikts samazinājums 30% apmērā.</w:t>
      </w:r>
    </w:p>
    <w:p w14:paraId="07C6A74A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lastRenderedPageBreak/>
        <w:t>6. Ja dzīvojamā telpa izīrēta ģimenei, kurā ir nepilngadīgi bērni, bērns ar invaliditāti vai persona ar invaliditāti kopš bērnības, īres maksai noteikts samazinājums 50% apmērā.</w:t>
      </w:r>
    </w:p>
    <w:p w14:paraId="6B0C7F8C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7. Ar dzīvojamās telpas lietošanu saistītie maksājumi ir:</w:t>
      </w:r>
    </w:p>
    <w:p w14:paraId="59860A81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7.1. dzīvojamās telpas platībai proporcionālā dzīvojamās mājas pārvaldīšanas izdevumu daļa, t.sk. pievienotās vērtības nodoklis;</w:t>
      </w:r>
    </w:p>
    <w:p w14:paraId="064DDF64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7.2. nekustamā īpašuma nodokļa maksājumi;</w:t>
      </w:r>
    </w:p>
    <w:p w14:paraId="747FC1B6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7.3. maksa par zemes lietošanu, ja dzīvojamā māja atrodas uz citai personai piederošas zemes;</w:t>
      </w:r>
    </w:p>
    <w:p w14:paraId="643760C5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7.4. dzīvojamajā mājā un dzīvojamajā telpā konstatētas</w:t>
      </w:r>
      <w:r w:rsidRPr="005B61F5">
        <w:rPr>
          <w:rFonts w:ascii="Times New Roman" w:eastAsia="Calibri" w:hAnsi="Times New Roman" w:cs="Times New Roman"/>
          <w:sz w:val="26"/>
          <w:szCs w:val="26"/>
        </w:rPr>
        <w:t xml:space="preserve"> avārijas situācijas novēršanas remontdarbu apmaksa</w:t>
      </w:r>
      <w:r w:rsidRPr="005B61F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B8856EF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7.5. maksājumi atbilstoši dzīvokļu īpašnieku kopības lēmumiem, ja tie saistīti ar  kalendārajā gadā veicamiem darbiem dzīvojamās mājas tehniskā stāvokļa uzlabošanai, nepieciešamo remontdarbu veikšanai vai citiem ar mājas pārvaldīšanu saistītiem mērķiem;</w:t>
      </w:r>
    </w:p>
    <w:p w14:paraId="787BE1D7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7.6. maksājumi par ar dzīvojamās telpas lietošanu saistītajiem ūdensapgādes un kanalizācijas, siltumapgādes, sadzīves atkritumu savākšanas un citiem pakalpojumiem, kas tiek sniegti ar dzīvojamās mājas pārvaldnieka starpniecību;</w:t>
      </w:r>
    </w:p>
    <w:p w14:paraId="4393FF33" w14:textId="77777777" w:rsidR="005B61F5" w:rsidRPr="005B61F5" w:rsidRDefault="00000000" w:rsidP="005B61F5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7.7. dzīvojamās mājas apdrošināšanas maksājumi.</w:t>
      </w:r>
    </w:p>
    <w:p w14:paraId="1FB21861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8. Ar sociālās dzīvojamās telpas lietošanu saistītie maksājumi ir:</w:t>
      </w:r>
    </w:p>
    <w:p w14:paraId="0E5DF458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8.1. dzīvojamās telpas platībai proporcionālā dzīvojamās mājas pārvaldīšanas izdevumu daļa, t.sk. pievienotās vērtības nodoklis; </w:t>
      </w:r>
    </w:p>
    <w:p w14:paraId="457382CD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8.2. maksājumi par ar dzīvojamās telpas lietošanu saistītajiem ūdensapgādes un kanalizācijas, siltumapgādes, sadzīves atkritumu savākšanas un citiem pakalpojumiem, kas tiek sniegti ar dzīvojamās mājas pārvaldnieka starpniecību, piemērojot 50% atbalsta maksājumu par siltumenerģiju sociālās dzīvojamās telpas apsildei (apkurei);</w:t>
      </w:r>
    </w:p>
    <w:p w14:paraId="7B6DBA1A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8.3. dzīvojamajā mājā un dzīvojamajā telpā konstatētas</w:t>
      </w:r>
      <w:r w:rsidRPr="005B61F5">
        <w:rPr>
          <w:rFonts w:ascii="Times New Roman" w:eastAsia="Calibri" w:hAnsi="Times New Roman" w:cs="Times New Roman"/>
          <w:sz w:val="26"/>
          <w:szCs w:val="26"/>
        </w:rPr>
        <w:t xml:space="preserve"> avārijas situācijas novēršanas remontdarbu apmaksa</w:t>
      </w:r>
      <w:r w:rsidRPr="005B61F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896A29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9. Īrnieki, kuriem dzīvojamā telpa nav izīrēta palīdzības dzīvokļa jautājumu risināšanā ietvaros un ir tiesības atsavināt dzīvojamo telpu, papildus īres maksai veic maksājumus par dzīvojamajā mājā noteiktajiem turpmākajos periodos veicamajiem remontdarbiem, </w:t>
      </w:r>
      <w:r w:rsidRPr="005B61F5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kuri tiek plānoti atbilstoši dzīvojamās mājas apsekošanas laikā konstatētajai situācijai un iekļauti dzīvojamās mājas uzturēšanas darbu plānā, kā arī saskaņā ar dzīvokļu īpašnieku kopības lēmumiem. </w:t>
      </w:r>
    </w:p>
    <w:p w14:paraId="21BA8455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10. Par ar dzīvojamās telpas vai sociālās dzīvojamās telpas lietošanu saistīto maksājumu kavējumu īrnieks maksā nokavējuma procentus vai līgumsodu ar pakalpojumu sniedzēju noslēgtajā līgumā noteiktajā apmērā.</w:t>
      </w:r>
    </w:p>
    <w:p w14:paraId="0B7377C4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11. Par atlīdzības par dzīvojamās telpas lietošanu maksājumu kavējumu īrnieks maksā nokavējuma procentus 0.1% apmērā no kavētās summas par katru kavējuma dienu. Nokavējuma procenti tiek aprēķināti, sākot ar nākamo dienu pēc maksājuma termiņa beigām, un tie jāsamaksā kopā ar kavēto atlīdzības maksājumu.</w:t>
      </w:r>
    </w:p>
    <w:p w14:paraId="67C6473C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 xml:space="preserve">12. Par īres maksas izmaiņām pašvaldība vai dzīvojamās mājas pārvaldnieks rakstveidā paziņo īrniekam, un tās stājas spēkā ne ātrāk kā vienu mēnesi pēc paziņošanas dienas. </w:t>
      </w:r>
    </w:p>
    <w:p w14:paraId="3CA7A901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lastRenderedPageBreak/>
        <w:t>13. Īres maksas maksājums Var tikts iekļauts ikmēneša dzīvojamo telpu īres, apsaimniekošanas un saņemto pakalpojumu rēķinā, kā arī izsniegts kā atsevišķs rēķins.</w:t>
      </w:r>
    </w:p>
    <w:p w14:paraId="070B6DE6" w14:textId="77777777" w:rsidR="005B61F5" w:rsidRPr="005B61F5" w:rsidRDefault="00000000" w:rsidP="005B61F5">
      <w:pPr>
        <w:spacing w:after="12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61F5">
        <w:rPr>
          <w:rFonts w:ascii="Times New Roman" w:eastAsia="Times New Roman" w:hAnsi="Times New Roman" w:cs="Times New Roman"/>
          <w:sz w:val="26"/>
          <w:szCs w:val="26"/>
        </w:rPr>
        <w:t>14. Šie saistošie noteikumi stājas spēkā 2026.gada 1.maijā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C83BE8F" w14:textId="77777777" w:rsidR="00C95C98" w:rsidRPr="007D5BD7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45326205" w14:textId="77777777" w:rsidR="00C95C98" w:rsidRPr="007D5BD7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38E72D23" w14:textId="77777777" w:rsidR="00C95C98" w:rsidRPr="007D5BD7" w:rsidRDefault="00C95C98" w:rsidP="00701A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20"/>
        <w:gridCol w:w="4995"/>
      </w:tblGrid>
      <w:tr w:rsidR="002A0C64" w14:paraId="67953C3D" w14:textId="77777777" w:rsidTr="00C5597E">
        <w:tc>
          <w:tcPr>
            <w:tcW w:w="482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B70F5" w14:textId="77777777" w:rsidR="00AA2B5E" w:rsidRPr="00AA2B5E" w:rsidRDefault="00000000" w:rsidP="00CA1180">
            <w:pPr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A2B5E">
              <w:rPr>
                <w:rFonts w:ascii="Times New Roman" w:hAnsi="Times New Roman" w:cs="Times New Roman"/>
                <w:noProof/>
                <w:sz w:val="26"/>
                <w:szCs w:val="26"/>
              </w:rPr>
              <w:t>#LEMUMA_PARAKSTITAJA1_AMATS#</w:t>
            </w:r>
          </w:p>
        </w:tc>
        <w:tc>
          <w:tcPr>
            <w:tcW w:w="499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E9274C" w14:textId="77777777" w:rsidR="00AA2B5E" w:rsidRPr="00AA2B5E" w:rsidRDefault="00000000" w:rsidP="00CA1180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A2B5E">
              <w:rPr>
                <w:rFonts w:ascii="Times New Roman" w:hAnsi="Times New Roman" w:cs="Times New Roman"/>
                <w:noProof/>
                <w:sz w:val="26"/>
                <w:szCs w:val="26"/>
              </w:rPr>
              <w:t>#LEMUMA_PARAKSTITAJA1_V_UZV#</w:t>
            </w:r>
          </w:p>
        </w:tc>
      </w:tr>
    </w:tbl>
    <w:p w14:paraId="6334E1C0" w14:textId="77777777" w:rsidR="007D5BD7" w:rsidRPr="007D5BD7" w:rsidRDefault="007D5BD7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7EC56AAC" w14:textId="77777777" w:rsidR="00DC4851" w:rsidRPr="007D5BD7" w:rsidRDefault="00000000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  <w:sz w:val="26"/>
          <w:szCs w:val="26"/>
        </w:rPr>
        <w:t>Projektu paraksta</w:t>
      </w:r>
    </w:p>
    <w:tbl>
      <w:tblPr>
        <w:tblW w:w="5100" w:type="pct"/>
        <w:tblLook w:val="04A0" w:firstRow="1" w:lastRow="0" w:firstColumn="1" w:lastColumn="0" w:noHBand="0" w:noVBand="1"/>
      </w:tblPr>
      <w:tblGrid>
        <w:gridCol w:w="5199"/>
        <w:gridCol w:w="4632"/>
      </w:tblGrid>
      <w:tr w:rsidR="002A0C64" w14:paraId="50E3A87C" w14:textId="77777777" w:rsidTr="006677FD">
        <w:tc>
          <w:tcPr>
            <w:tcW w:w="519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A4636" w14:textId="77777777" w:rsidR="00770872" w:rsidRPr="007D5BD7" w:rsidRDefault="00000000" w:rsidP="006677FD">
            <w:pPr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#PARAKSTITAJA1_STV_AMATS_PILNAIS#</w:t>
            </w:r>
          </w:p>
        </w:tc>
        <w:tc>
          <w:tcPr>
            <w:tcW w:w="463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847E08" w14:textId="77777777" w:rsidR="00770872" w:rsidRPr="007D5BD7" w:rsidRDefault="00000000" w:rsidP="006677FD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noProof/>
                <w:sz w:val="26"/>
                <w:szCs w:val="26"/>
              </w:rPr>
              <w:t>#PARAKST_V_UZV#</w:t>
            </w:r>
          </w:p>
        </w:tc>
      </w:tr>
    </w:tbl>
    <w:p w14:paraId="48C38400" w14:textId="77777777" w:rsidR="006677FD" w:rsidRDefault="006677FD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p w14:paraId="0FABBD82" w14:textId="77777777" w:rsidR="006677FD" w:rsidRDefault="00000000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  <w:r w:rsidRPr="007D5BD7">
        <w:rPr>
          <w:rFonts w:ascii="Times New Roman" w:hAnsi="Times New Roman" w:cs="Times New Roman"/>
          <w:i/>
          <w:iCs/>
          <w:noProof/>
          <w:sz w:val="26"/>
          <w:szCs w:val="26"/>
        </w:rPr>
        <w:t xml:space="preserve">Iesniedz </w:t>
      </w:r>
    </w:p>
    <w:p w14:paraId="4A91DEF8" w14:textId="77777777" w:rsidR="005D1A96" w:rsidRDefault="005D1A96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p w14:paraId="5923B984" w14:textId="77777777" w:rsidR="005D1A96" w:rsidRPr="007D5BD7" w:rsidRDefault="005D1A96" w:rsidP="006677FD">
      <w:pPr>
        <w:spacing w:after="200" w:line="276" w:lineRule="auto"/>
        <w:rPr>
          <w:rFonts w:ascii="Times New Roman" w:hAnsi="Times New Roman" w:cs="Times New Roman"/>
          <w:i/>
          <w:iCs/>
          <w:noProof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2A0C64" w14:paraId="34D175C9" w14:textId="77777777" w:rsidTr="005D1A96"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EC99" w14:textId="77777777" w:rsidR="005D1A96" w:rsidRDefault="0000000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21315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Saistošo noteikumu projekts ir jānosūta VARAM    </w:t>
            </w:r>
          </w:p>
        </w:tc>
      </w:tr>
      <w:tr w:rsidR="002A0C64" w14:paraId="3FE03092" w14:textId="77777777" w:rsidTr="005D1A96">
        <w:tc>
          <w:tcPr>
            <w:tcW w:w="9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6F71" w14:textId="77777777" w:rsidR="005D1A96" w:rsidRDefault="00000000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hAnsi="Times New Roman" w:cs="Times New Roman"/>
                  <w:sz w:val="26"/>
                  <w:szCs w:val="26"/>
                </w:rPr>
                <w:id w:val="183348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Saistošo noteikumu projekts ir jānosūta AIC paziņošanai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Iekšējā tirgus informācijas sistēmā</w:t>
            </w:r>
          </w:p>
        </w:tc>
      </w:tr>
    </w:tbl>
    <w:p w14:paraId="16B427CF" w14:textId="77777777" w:rsidR="00770872" w:rsidRPr="00BF6617" w:rsidRDefault="00770872" w:rsidP="00770872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14:paraId="1867F0B7" w14:textId="77777777" w:rsidR="00770872" w:rsidRPr="00BF6617" w:rsidRDefault="00000000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6617">
        <w:rPr>
          <w:rFonts w:ascii="Times New Roman" w:hAnsi="Times New Roman" w:cs="Times New Roman"/>
          <w:sz w:val="26"/>
          <w:szCs w:val="26"/>
        </w:rPr>
        <w:t>Lapiņa</w:t>
      </w:r>
      <w:r w:rsidR="00BF6617">
        <w:rPr>
          <w:rFonts w:ascii="Times New Roman" w:hAnsi="Times New Roman" w:cs="Times New Roman"/>
          <w:sz w:val="26"/>
          <w:szCs w:val="26"/>
        </w:rPr>
        <w:t xml:space="preserve"> </w:t>
      </w:r>
      <w:r w:rsidRPr="00BF6617">
        <w:rPr>
          <w:rFonts w:ascii="Times New Roman" w:hAnsi="Times New Roman" w:cs="Times New Roman"/>
          <w:sz w:val="26"/>
          <w:szCs w:val="26"/>
        </w:rPr>
        <w:t xml:space="preserve">67012581 </w:t>
      </w:r>
    </w:p>
    <w:p w14:paraId="668A5F04" w14:textId="77777777" w:rsidR="00770872" w:rsidRPr="00BF6617" w:rsidRDefault="00000000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88F" w:rsidRPr="00BF66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6C01AE" w14:textId="77777777" w:rsidR="00770872" w:rsidRPr="00BF6617" w:rsidRDefault="00000000" w:rsidP="00770872">
      <w:pPr>
        <w:tabs>
          <w:tab w:val="left" w:pos="2552"/>
          <w:tab w:val="left" w:pos="3119"/>
          <w:tab w:val="left" w:pos="368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288F" w:rsidRPr="00BF66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895942" w14:textId="77777777" w:rsidR="00B00798" w:rsidRPr="007D5BD7" w:rsidRDefault="00B00798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p w14:paraId="5F322C24" w14:textId="77777777" w:rsidR="00B00798" w:rsidRPr="007D5BD7" w:rsidRDefault="00000000" w:rsidP="00770872">
      <w:pPr>
        <w:keepNext/>
        <w:spacing w:before="60" w:after="60"/>
        <w:rPr>
          <w:rFonts w:ascii="Times New Roman" w:hAnsi="Times New Roman" w:cs="Times New Roman"/>
        </w:rPr>
      </w:pPr>
      <w:r w:rsidRPr="007D5BD7">
        <w:rPr>
          <w:rFonts w:ascii="Times New Roman" w:hAnsi="Times New Roman" w:cs="Times New Roman"/>
          <w:color w:val="000000"/>
        </w:rPr>
        <w:t>#VISU_SASKANOTAJU_TABULA_STV#</w:t>
      </w:r>
    </w:p>
    <w:p w14:paraId="22D441F6" w14:textId="77777777" w:rsidR="00B00798" w:rsidRPr="007D5BD7" w:rsidRDefault="00000000" w:rsidP="00B00798">
      <w:pPr>
        <w:rPr>
          <w:rFonts w:ascii="Times New Roman" w:hAnsi="Times New Roman" w:cs="Times New Roman"/>
          <w:i/>
          <w:sz w:val="20"/>
          <w:szCs w:val="26"/>
        </w:rPr>
      </w:pPr>
      <w:r w:rsidRPr="007D5BD7">
        <w:rPr>
          <w:rFonts w:ascii="Times New Roman" w:hAnsi="Times New Roman" w:cs="Times New Roman"/>
          <w:i/>
          <w:sz w:val="20"/>
          <w:szCs w:val="20"/>
        </w:rPr>
        <w:t xml:space="preserve">*Saraksts ir pievienots automātiski </w:t>
      </w:r>
      <w:r w:rsidRPr="007D5BD7">
        <w:rPr>
          <w:rFonts w:ascii="Times New Roman" w:hAnsi="Times New Roman" w:cs="Times New Roman"/>
          <w:i/>
          <w:sz w:val="20"/>
          <w:szCs w:val="26"/>
        </w:rPr>
        <w:t>no sistēmas ELISS dokumentu apstrādes plūsmas</w:t>
      </w:r>
    </w:p>
    <w:p w14:paraId="43F34EE3" w14:textId="77777777" w:rsidR="00B00798" w:rsidRPr="007D5BD7" w:rsidRDefault="00B00798" w:rsidP="00F07A9C">
      <w:pPr>
        <w:spacing w:after="200" w:line="276" w:lineRule="auto"/>
        <w:rPr>
          <w:rFonts w:ascii="Times New Roman" w:hAnsi="Times New Roman" w:cs="Times New Roman"/>
          <w:noProof/>
          <w:sz w:val="26"/>
          <w:szCs w:val="26"/>
        </w:rPr>
      </w:pPr>
    </w:p>
    <w:sectPr w:rsidR="00B00798" w:rsidRPr="007D5BD7" w:rsidSect="00C5597E"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055BB"/>
    <w:multiLevelType w:val="multilevel"/>
    <w:tmpl w:val="F7040B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 w16cid:durableId="135826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710AA"/>
    <w:rsid w:val="000747C4"/>
    <w:rsid w:val="00092AE8"/>
    <w:rsid w:val="000933F8"/>
    <w:rsid w:val="000F04C2"/>
    <w:rsid w:val="0015286F"/>
    <w:rsid w:val="00193F1F"/>
    <w:rsid w:val="002A0C64"/>
    <w:rsid w:val="002B47FF"/>
    <w:rsid w:val="0032030C"/>
    <w:rsid w:val="0039097C"/>
    <w:rsid w:val="003C4A28"/>
    <w:rsid w:val="00453A2E"/>
    <w:rsid w:val="00473EDD"/>
    <w:rsid w:val="00533C2F"/>
    <w:rsid w:val="005A57EE"/>
    <w:rsid w:val="005B61F5"/>
    <w:rsid w:val="005D1A96"/>
    <w:rsid w:val="00665633"/>
    <w:rsid w:val="006677FD"/>
    <w:rsid w:val="00682D89"/>
    <w:rsid w:val="006869CA"/>
    <w:rsid w:val="006A59F3"/>
    <w:rsid w:val="006E51CB"/>
    <w:rsid w:val="006F4BCA"/>
    <w:rsid w:val="00701A1C"/>
    <w:rsid w:val="00770872"/>
    <w:rsid w:val="007B54D9"/>
    <w:rsid w:val="007C1CD5"/>
    <w:rsid w:val="007C726F"/>
    <w:rsid w:val="007D5BD7"/>
    <w:rsid w:val="0083365E"/>
    <w:rsid w:val="008374D2"/>
    <w:rsid w:val="008427F4"/>
    <w:rsid w:val="008C5765"/>
    <w:rsid w:val="008F4F10"/>
    <w:rsid w:val="008F6454"/>
    <w:rsid w:val="00980B0F"/>
    <w:rsid w:val="009B35F5"/>
    <w:rsid w:val="009C288F"/>
    <w:rsid w:val="009D503D"/>
    <w:rsid w:val="00A846BD"/>
    <w:rsid w:val="00AA2B5E"/>
    <w:rsid w:val="00AB5B49"/>
    <w:rsid w:val="00B00798"/>
    <w:rsid w:val="00B23265"/>
    <w:rsid w:val="00B51F6F"/>
    <w:rsid w:val="00BF6617"/>
    <w:rsid w:val="00C41C5C"/>
    <w:rsid w:val="00C5597E"/>
    <w:rsid w:val="00C95C98"/>
    <w:rsid w:val="00CA1180"/>
    <w:rsid w:val="00CE51D2"/>
    <w:rsid w:val="00DC1E5B"/>
    <w:rsid w:val="00DC4851"/>
    <w:rsid w:val="00E84B13"/>
    <w:rsid w:val="00F07A9C"/>
    <w:rsid w:val="00F27E7F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2147B7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5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DD7F8-3317-477A-B9D7-B3A0F1BC5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3251</Words>
  <Characters>1854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Vineta Dārzniece</cp:lastModifiedBy>
  <cp:revision>2</cp:revision>
  <dcterms:created xsi:type="dcterms:W3CDTF">2025-11-19T14:05:00Z</dcterms:created>
  <dcterms:modified xsi:type="dcterms:W3CDTF">2025-11-19T14:05:00Z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