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3829" w14:textId="77777777" w:rsidR="00F40F10" w:rsidRPr="00965DE1" w:rsidRDefault="00F40F10" w:rsidP="00F40F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DE1">
        <w:rPr>
          <w:rFonts w:ascii="Times New Roman" w:hAnsi="Times New Roman" w:cs="Times New Roman"/>
          <w:b/>
          <w:sz w:val="26"/>
          <w:szCs w:val="26"/>
        </w:rPr>
        <w:t xml:space="preserve">Paskaidrojuma raksts </w:t>
      </w:r>
    </w:p>
    <w:p w14:paraId="01785876" w14:textId="77777777" w:rsidR="00F40F10" w:rsidRDefault="00F40F10" w:rsidP="00F40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DE1">
        <w:rPr>
          <w:rFonts w:ascii="Times New Roman" w:hAnsi="Times New Roman" w:cs="Times New Roman"/>
          <w:b/>
          <w:bCs/>
          <w:sz w:val="26"/>
          <w:szCs w:val="26"/>
        </w:rPr>
        <w:t>Rīgas domes #SEDES_NORISES_DATUMS_V_L# saistošajiem noteikumiem Nr. #LEMUMA_NUMURS#</w:t>
      </w:r>
    </w:p>
    <w:p w14:paraId="00E65900" w14:textId="77777777" w:rsidR="00F40F10" w:rsidRDefault="00F40F10" w:rsidP="00F40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F0F5F9" w14:textId="77777777" w:rsidR="00F40F10" w:rsidRDefault="00F40F10" w:rsidP="00F40F1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Grozījumi Rīgas domes 202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5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.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 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gada 2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6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.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 mart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a saistošajos noteikumos</w:t>
      </w:r>
    </w:p>
    <w:p w14:paraId="7A190D6E" w14:textId="13AF2647" w:rsidR="00F40F10" w:rsidRPr="00CC4BA3" w:rsidRDefault="00F40F10" w:rsidP="00F40F1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</w:pP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Nr.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 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RD-2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5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-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3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2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9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 xml:space="preserve">-sn “Par 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 xml:space="preserve">pašvaldības atbalstu </w:t>
      </w:r>
      <w:r w:rsidRPr="00F27550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telpu lietotājiem ēku pirmajos stāvos</w:t>
      </w:r>
      <w:r w:rsidRPr="00CC4BA3"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”</w:t>
      </w:r>
      <w:r>
        <w:rPr>
          <w:rFonts w:ascii="Times New Roman" w:eastAsia="Aptos" w:hAnsi="Times New Roman" w:cs="Times New Roman"/>
          <w:b/>
          <w:bCs/>
          <w:kern w:val="2"/>
          <w:sz w:val="26"/>
          <w14:ligatures w14:val="standardContextual"/>
        </w:rPr>
        <w:t>”</w:t>
      </w:r>
    </w:p>
    <w:p w14:paraId="2E2540D1" w14:textId="77777777" w:rsidR="00F40F10" w:rsidRDefault="00F40F10" w:rsidP="00F40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5353"/>
          <w:sz w:val="26"/>
          <w:szCs w:val="26"/>
          <w:lang w:eastAsia="lv-LV"/>
        </w:rPr>
      </w:pPr>
    </w:p>
    <w:p w14:paraId="663459EE" w14:textId="77777777" w:rsidR="00F40F10" w:rsidRPr="00965DE1" w:rsidRDefault="00F40F10" w:rsidP="00F40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5353"/>
          <w:sz w:val="26"/>
          <w:szCs w:val="26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0F10" w14:paraId="211BFA8D" w14:textId="77777777" w:rsidTr="00196530">
        <w:trPr>
          <w:trHeight w:val="654"/>
        </w:trPr>
        <w:tc>
          <w:tcPr>
            <w:tcW w:w="0" w:type="auto"/>
          </w:tcPr>
          <w:p w14:paraId="016AEEA9" w14:textId="77777777" w:rsidR="00F40F10" w:rsidRPr="00E4791C" w:rsidRDefault="00F40F10" w:rsidP="00641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1. Mērķi un nepieciešamības pamatojums, tostarp raksturojot iespējamās alternatīvas, kas neparedz tiesiskā regulējuma izstrādi</w:t>
            </w:r>
          </w:p>
          <w:p w14:paraId="71202F00" w14:textId="06FA0BD3" w:rsidR="005A1DE8" w:rsidRDefault="00F40F10" w:rsidP="00641315">
            <w:pPr>
              <w:ind w:firstLine="7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F3C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Saistošo noteikumu </w:t>
            </w:r>
            <w:r w:rsidRPr="00CB4BC0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Grozījumi Rīgas domes 202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5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. gada 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6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. 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 xml:space="preserve">marta 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saistošajo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 xml:space="preserve">s 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noteikumos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 xml:space="preserve"> 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Nr. RD-2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5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-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3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9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 xml:space="preserve">-sn “Par 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pašvaldības atbalstu telpu lietotājiem ēku pirmajos stāvos</w:t>
            </w:r>
            <w:r w:rsidRPr="00CB4BC0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””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 xml:space="preserve"> </w:t>
            </w:r>
            <w:r w:rsidRPr="001F3C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(turpmāk – </w:t>
            </w:r>
            <w:r w:rsidR="00E05A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aistošie n</w:t>
            </w:r>
            <w:r w:rsidRPr="001F3C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oteikumi) izdošanas mērķis ir </w:t>
            </w:r>
            <w:r w:rsidR="005A1DE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uzlabot esošo 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Rīgas domes 202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5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. gada 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6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. 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mart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a saistošo noteikum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u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 xml:space="preserve"> Nr. RD-2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5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-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3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2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9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 xml:space="preserve">-sn “Par </w:t>
            </w:r>
            <w:r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pašvaldības atbalstu telpu lietotājiem ēku pirmajos stāvos</w:t>
            </w:r>
            <w:r w:rsidRPr="001F3C4F"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  <w:t>”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1F3C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(turpmāk – 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Saistoš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ie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noteikumi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br/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Nr. RD-2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-sn</w:t>
            </w:r>
            <w:r w:rsidRPr="001F3C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="005A1DE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regulējumu.</w:t>
            </w:r>
          </w:p>
          <w:p w14:paraId="38861422" w14:textId="522D5E9E" w:rsidR="001747A8" w:rsidRPr="001747A8" w:rsidRDefault="001747A8" w:rsidP="001747A8">
            <w:pPr>
              <w:ind w:firstLine="7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74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Pamatojoties uz 2025. gadā īstenotās programmas </w:t>
            </w:r>
            <w:proofErr w:type="spellStart"/>
            <w:r w:rsidRPr="00174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izvērtējumu</w:t>
            </w:r>
            <w:proofErr w:type="spellEnd"/>
            <w:r w:rsidRPr="00174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tiek noteiktas izmaiņas programmas darbībā, kas attiecas uz:</w:t>
            </w:r>
          </w:p>
          <w:p w14:paraId="0ABF2F3A" w14:textId="77777777" w:rsidR="001747A8" w:rsidRPr="00A37AA8" w:rsidRDefault="001747A8" w:rsidP="00A37AA8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37A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atbalstāmajām darbībām;</w:t>
            </w:r>
          </w:p>
          <w:p w14:paraId="63837380" w14:textId="77777777" w:rsidR="001747A8" w:rsidRPr="00A37AA8" w:rsidRDefault="001747A8" w:rsidP="00A37AA8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37A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iesniedzamo dokumentu prasībām;</w:t>
            </w:r>
          </w:p>
          <w:p w14:paraId="44F2CE84" w14:textId="77777777" w:rsidR="001747A8" w:rsidRPr="00A37AA8" w:rsidRDefault="001747A8" w:rsidP="00A37AA8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37A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līdzfinansējuma saņēmēju noteikšanu;</w:t>
            </w:r>
          </w:p>
          <w:p w14:paraId="45420904" w14:textId="31E96FB3" w:rsidR="00E05A5D" w:rsidRPr="00A37AA8" w:rsidRDefault="001747A8" w:rsidP="00A37AA8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37A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gadījumiem, kad pretendents ir tiesīgs saņemt atkārtotu līdzfinansējumu par identiskām atbalstāmajām darbībām.</w:t>
            </w:r>
          </w:p>
          <w:p w14:paraId="7E526BC8" w14:textId="53D77CA4" w:rsidR="00F40F10" w:rsidRPr="00CB4BC0" w:rsidRDefault="005A1DE8" w:rsidP="00641315">
            <w:pPr>
              <w:ind w:firstLine="736"/>
              <w:jc w:val="both"/>
              <w:rPr>
                <w:rFonts w:ascii="Times New Roman" w:eastAsia="Aptos" w:hAnsi="Times New Roman" w:cs="Times New Roman"/>
                <w:kern w:val="2"/>
                <w:sz w:val="26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Ar saistošajiem noteikumiem </w:t>
            </w:r>
            <w:r w:rsidR="00F40F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tiek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precizēts:</w:t>
            </w:r>
          </w:p>
          <w:p w14:paraId="3AFDE62C" w14:textId="084383E5" w:rsidR="00F40F10" w:rsidRDefault="00F40F10" w:rsidP="00641315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uz līdzfinansējumu nevar pretendēt ne tikai telpu īpašnieki, kas veic telpu iznomāšanu, bet arī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apsaimniekotāji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. Līdz ar to tiek novērsta iespēja, ka </w:t>
            </w:r>
            <w:r w:rsidRPr="00F40F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 līdzfinansējums tiek piešķirts telpā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</w:t>
            </w:r>
            <w:r w:rsidRPr="00F40F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, k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as</w:t>
            </w:r>
            <w:r w:rsidRPr="00F40F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neveicina saimniecisko darbību ēku pirmajos stāvos un nesasniedz programmas izvirzīto mērķi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7A26A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3973F76F" w14:textId="3803B72A" w:rsidR="00F40F10" w:rsidRPr="00A37AA8" w:rsidRDefault="00652150" w:rsidP="00641315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precizēts termins “fiziskās vides pieejamība” uz “ēkas pieejamību”, tādējādi atļaujot uzlabot </w:t>
            </w:r>
            <w:r w:rsidR="000701E2">
              <w:rPr>
                <w:rFonts w:ascii="Times New Roman" w:hAnsi="Times New Roman" w:cs="Times New Roman"/>
                <w:sz w:val="26"/>
                <w:szCs w:val="26"/>
              </w:rPr>
              <w:t xml:space="preserve">vides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pieejamību ārpus telpām – fasādes,</w:t>
            </w:r>
            <w:r w:rsidR="00E05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5A5D">
              <w:rPr>
                <w:rFonts w:ascii="Times New Roman" w:hAnsi="Times New Roman" w:cs="Times New Roman"/>
                <w:sz w:val="26"/>
                <w:szCs w:val="26"/>
              </w:rPr>
              <w:t>pandusa</w:t>
            </w:r>
            <w:proofErr w:type="spellEnd"/>
            <w:r w:rsidR="00E05A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kāpņu u.c.</w:t>
            </w:r>
            <w:r w:rsidR="00E05A5D">
              <w:rPr>
                <w:rFonts w:ascii="Times New Roman" w:hAnsi="Times New Roman" w:cs="Times New Roman"/>
                <w:sz w:val="26"/>
                <w:szCs w:val="26"/>
              </w:rPr>
              <w:t xml:space="preserve"> uzstādīšana un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remonts</w:t>
            </w:r>
            <w:r w:rsidR="00F40F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;</w:t>
            </w:r>
          </w:p>
          <w:p w14:paraId="4C938F35" w14:textId="5539D673" w:rsidR="00270D9E" w:rsidRPr="007A26A0" w:rsidRDefault="00A37AA8" w:rsidP="00641315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Atbalstāmās darbības papildinātas ar iespēju uzstādīt</w:t>
            </w:r>
            <w:r w:rsidR="00270D9E">
              <w:rPr>
                <w:rFonts w:ascii="Times New Roman" w:hAnsi="Times New Roman" w:cs="Times New Roman"/>
                <w:sz w:val="26"/>
                <w:szCs w:val="26"/>
              </w:rPr>
              <w:t xml:space="preserve"> markīz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es</w:t>
            </w:r>
            <w:r w:rsidR="00514ED5">
              <w:rPr>
                <w:rFonts w:ascii="Times New Roman" w:hAnsi="Times New Roman" w:cs="Times New Roman"/>
                <w:sz w:val="26"/>
                <w:szCs w:val="26"/>
              </w:rPr>
              <w:t xml:space="preserve">, bet </w:t>
            </w:r>
            <w:r w:rsidR="00D162CB">
              <w:rPr>
                <w:rFonts w:ascii="Times New Roman" w:hAnsi="Times New Roman" w:cs="Times New Roman"/>
                <w:sz w:val="26"/>
                <w:szCs w:val="26"/>
              </w:rPr>
              <w:t>līdzfinansējums</w:t>
            </w:r>
            <w:r w:rsidR="00F575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5755B">
              <w:rPr>
                <w:rFonts w:ascii="Times New Roman" w:hAnsi="Times New Roman" w:cs="Times New Roman"/>
                <w:sz w:val="26"/>
                <w:szCs w:val="26"/>
              </w:rPr>
              <w:t>parkletam</w:t>
            </w:r>
            <w:proofErr w:type="spellEnd"/>
            <w:r w:rsidR="00D162CB">
              <w:rPr>
                <w:rFonts w:ascii="Times New Roman" w:hAnsi="Times New Roman" w:cs="Times New Roman"/>
                <w:sz w:val="26"/>
                <w:szCs w:val="26"/>
              </w:rPr>
              <w:t xml:space="preserve"> tiek piešķirts tikai par</w:t>
            </w:r>
            <w:r w:rsidR="00F575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5755B">
              <w:rPr>
                <w:rFonts w:ascii="Times New Roman" w:hAnsi="Times New Roman" w:cs="Times New Roman"/>
                <w:sz w:val="26"/>
                <w:szCs w:val="26"/>
              </w:rPr>
              <w:t>parkletu</w:t>
            </w:r>
            <w:proofErr w:type="spellEnd"/>
            <w:r w:rsidR="00F5755B">
              <w:rPr>
                <w:rFonts w:ascii="Times New Roman" w:hAnsi="Times New Roman" w:cs="Times New Roman"/>
                <w:sz w:val="26"/>
                <w:szCs w:val="26"/>
              </w:rPr>
              <w:t>, kas pilnībā atbilst</w:t>
            </w:r>
            <w:r w:rsidR="00D162CB">
              <w:rPr>
                <w:rFonts w:ascii="Times New Roman" w:hAnsi="Times New Roman" w:cs="Times New Roman"/>
                <w:sz w:val="26"/>
                <w:szCs w:val="26"/>
              </w:rPr>
              <w:t xml:space="preserve"> Rīgas valstspilsētas pašvaldības </w:t>
            </w:r>
            <w:r w:rsidR="004371C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3A56E1">
              <w:rPr>
                <w:rFonts w:ascii="Times New Roman" w:hAnsi="Times New Roman" w:cs="Times New Roman"/>
                <w:sz w:val="26"/>
                <w:szCs w:val="26"/>
              </w:rPr>
              <w:t>zstrādātajam katalog</w:t>
            </w:r>
            <w:r w:rsidR="00F5755B">
              <w:rPr>
                <w:rFonts w:ascii="Times New Roman" w:hAnsi="Times New Roman" w:cs="Times New Roman"/>
                <w:sz w:val="26"/>
                <w:szCs w:val="26"/>
              </w:rPr>
              <w:t>a risinājumiem</w:t>
            </w:r>
            <w:r w:rsidR="003A56E1">
              <w:rPr>
                <w:rStyle w:val="Vresatsauce"/>
                <w:rFonts w:ascii="Times New Roman" w:hAnsi="Times New Roman" w:cs="Times New Roman"/>
                <w:sz w:val="26"/>
                <w:szCs w:val="26"/>
              </w:rPr>
              <w:footnoteReference w:id="2"/>
            </w:r>
            <w:r w:rsidR="008641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E821CF" w14:textId="353DDD33" w:rsidR="00F40F10" w:rsidRDefault="00652150" w:rsidP="00641315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no līdzšinējās 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Saistoš</w:t>
            </w:r>
            <w:r w:rsidR="000E3D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o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u 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Nr. RD-2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-sn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piemērošanas, </w:t>
            </w:r>
            <w:r w:rsidR="004F2EE0">
              <w:rPr>
                <w:rFonts w:ascii="Times New Roman" w:hAnsi="Times New Roman" w:cs="Times New Roman"/>
                <w:sz w:val="26"/>
                <w:szCs w:val="26"/>
              </w:rPr>
              <w:t>precizēts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5.1.2.</w:t>
            </w:r>
            <w:r w:rsidR="000E3DC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apakšpunkts, atbalstot tikai telpu remonta izmaksas, ka neietver </w:t>
            </w:r>
            <w:bookmarkStart w:id="0" w:name="_Hlk213676910"/>
            <w:r>
              <w:rPr>
                <w:rFonts w:ascii="Times New Roman" w:hAnsi="Times New Roman" w:cs="Times New Roman"/>
                <w:sz w:val="26"/>
                <w:szCs w:val="26"/>
              </w:rPr>
              <w:t>dizaina elementu, pamatlīdzekļu, inventāra</w:t>
            </w:r>
            <w:r w:rsidR="000E3DCE">
              <w:rPr>
                <w:rFonts w:ascii="Times New Roman" w:hAnsi="Times New Roman" w:cs="Times New Roman"/>
                <w:sz w:val="26"/>
                <w:szCs w:val="26"/>
              </w:rPr>
              <w:t>, iekārtu iegādes un uzstādīšanas izmaksas</w:t>
            </w:r>
            <w:bookmarkEnd w:id="0"/>
            <w:r w:rsidR="000E3DCE">
              <w:rPr>
                <w:rFonts w:ascii="Times New Roman" w:hAnsi="Times New Roman" w:cs="Times New Roman"/>
                <w:sz w:val="26"/>
                <w:szCs w:val="26"/>
              </w:rPr>
              <w:t>, kā piemēram, virtuves iekārtu, mēbeļu, lampu u.c. iegādi</w:t>
            </w:r>
            <w:r w:rsidR="001E18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3F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392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0E3FBE">
              <w:rPr>
                <w:rFonts w:ascii="Times New Roman" w:hAnsi="Times New Roman" w:cs="Times New Roman"/>
                <w:sz w:val="26"/>
                <w:szCs w:val="26"/>
              </w:rPr>
              <w:t xml:space="preserve">eguldījums telpu remontā vai </w:t>
            </w:r>
            <w:r w:rsidR="00172AD2">
              <w:rPr>
                <w:rFonts w:ascii="Times New Roman" w:hAnsi="Times New Roman" w:cs="Times New Roman"/>
                <w:sz w:val="26"/>
                <w:szCs w:val="26"/>
              </w:rPr>
              <w:t>iekārtošanā</w:t>
            </w:r>
            <w:r w:rsidR="000E3FBE">
              <w:rPr>
                <w:rFonts w:ascii="Times New Roman" w:hAnsi="Times New Roman" w:cs="Times New Roman"/>
                <w:sz w:val="26"/>
                <w:szCs w:val="26"/>
              </w:rPr>
              <w:t xml:space="preserve"> nevis uzņēmuma inventārā vai pamatlīdzekļos</w:t>
            </w:r>
            <w:r w:rsidR="00172AD2">
              <w:rPr>
                <w:rFonts w:ascii="Times New Roman" w:hAnsi="Times New Roman" w:cs="Times New Roman"/>
                <w:sz w:val="26"/>
                <w:szCs w:val="26"/>
              </w:rPr>
              <w:t xml:space="preserve"> palielinās iespēju, ka pašvaldības līdzfinansētais ieguldījums būs piemērojams arī nākamajiem telpu lietotājiem.</w:t>
            </w:r>
          </w:p>
          <w:p w14:paraId="5465DCC9" w14:textId="0CA01C44" w:rsidR="00F40F10" w:rsidRPr="007A26A0" w:rsidRDefault="000E3DCE" w:rsidP="00641315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saistībā ar skatlogu vizuālo noformējumu</w:t>
            </w:r>
            <w:r w:rsidR="004F2EE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turpmāk nav paredzēts līdzfinasēt TV ekrānu izvietošanu skatlogā, nemot vērā, ka tas nav saistīts ar skatloga dekoratīvo noformējumu</w:t>
            </w:r>
            <w:r w:rsidR="00F40F1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2D3FC02" w14:textId="2ED1E0C1" w:rsidR="00F40F10" w:rsidRDefault="000E3DCE" w:rsidP="00641315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lastRenderedPageBreak/>
              <w:t xml:space="preserve">attiecinot 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Saistoš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o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u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Nr. RD-2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-sn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piemērošanu uz turpmākiem gadiem, grozīts 6. punktā noteiktais termiņš par izmaksu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attiecināmību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viena gada periodā no pieteikuma iesniegšanas brīža</w:t>
            </w:r>
            <w:r w:rsidR="00F40F1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7977D5A1" w14:textId="1900045F" w:rsidR="00F40F10" w:rsidRDefault="000E3DCE" w:rsidP="00641315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izslēgta prasība iesniegt maksājumu apliecinošus dokumentus, jo tie tiek pievienoti atskaitei</w:t>
            </w:r>
            <w:r w:rsidR="00F40F1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345789DE" w14:textId="6E918CE9" w:rsidR="0079285F" w:rsidRPr="00196530" w:rsidRDefault="000E3DCE" w:rsidP="00196530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papildināts, ka </w:t>
            </w:r>
            <w:r w:rsidR="00F40F10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pretendents var</w:t>
            </w:r>
            <w:r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atkārtoti </w:t>
            </w:r>
            <w:r w:rsidR="00F40F10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saņemt </w:t>
            </w:r>
            <w:r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līdzfinansājumu nākamjā kalendārajā gadā</w:t>
            </w:r>
            <w:r w:rsidR="00FC5AC5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65428E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t</w:t>
            </w:r>
            <w:r w:rsidR="00FC5AC5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ikai skatlogu dekoratīvajai noformēšanai. </w:t>
            </w:r>
            <w:r w:rsidR="00F03248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Skatlogi ir viens no pirmajiem elementiem, ko cilvēki pamana, ejot pa ielu. Tie veido kopējo pilsētas tēlu un rada estētisku vidi. </w:t>
            </w:r>
            <w:r w:rsidR="008B6D52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Tād</w:t>
            </w:r>
            <w:r w:rsidR="008B6266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ējādi d</w:t>
            </w:r>
            <w:r w:rsidR="00EA25A2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ekoratīvi skatlogi ļauj </w:t>
            </w:r>
            <w:r w:rsidR="008B6266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uzņēmējiem </w:t>
            </w:r>
            <w:r w:rsidR="00EA25A2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pilsēt</w:t>
            </w:r>
            <w:r w:rsidR="008B6D52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ā </w:t>
            </w:r>
            <w:r w:rsidR="00EA25A2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atspoguļot svētkus, kultūras notikumus un aktuālās tendences, radot sajūtu, ka pilsēta ir dzīva un mainīga.</w:t>
            </w:r>
            <w:r w:rsidR="0065428E" w:rsidRPr="0019653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Ņemot vērā, ka skatloga dekorācijas ir bieži vien mainīgas un atkarīgs no aktuālās tematetikas, ir būtiski, ka uzņēmējiem ir iespēja un motivācija mainīt skatolga noformējumu.</w:t>
            </w:r>
          </w:p>
          <w:p w14:paraId="189D553F" w14:textId="77777777" w:rsidR="005A0CAC" w:rsidRDefault="00FC5AC5" w:rsidP="005A0CAC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redakcionāli </w:t>
            </w:r>
            <w:r w:rsidR="005A0CA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precizēts termiņš kādā </w:t>
            </w:r>
            <w:r w:rsidR="005A0CAC" w:rsidRPr="00D62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Līdzfinansējuma saņēmējiem ir pienākums</w:t>
            </w:r>
            <w:r w:rsidR="005A0CA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nodrošināt telpu publisku izmatošanu saistībā ar piešķirtā līdzfinansējuma apmēru.</w:t>
            </w:r>
          </w:p>
          <w:p w14:paraId="3A105F12" w14:textId="2B35FFCF" w:rsidR="007D7452" w:rsidRPr="005A0CAC" w:rsidRDefault="00856339" w:rsidP="005A0CAC">
            <w:pPr>
              <w:pStyle w:val="Sarakstarindkopa"/>
              <w:numPr>
                <w:ilvl w:val="0"/>
                <w:numId w:val="1"/>
              </w:numPr>
              <w:shd w:val="clear" w:color="auto" w:fill="FFFFFF"/>
              <w:ind w:left="0" w:firstLine="306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r</w:t>
            </w:r>
            <w:r w:rsidR="007D745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edakcionāli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labota pieteikumu un atskaites veidlapa atbilstoši paredzētajām atbalstāmajām darbībām un iesniedzamajiem dokumentiem.</w:t>
            </w:r>
          </w:p>
        </w:tc>
      </w:tr>
      <w:tr w:rsidR="00F40F10" w14:paraId="7463034E" w14:textId="77777777" w:rsidTr="00196530">
        <w:tc>
          <w:tcPr>
            <w:tcW w:w="0" w:type="auto"/>
          </w:tcPr>
          <w:p w14:paraId="4967B1DD" w14:textId="77777777" w:rsidR="00F40F10" w:rsidRPr="00E4791C" w:rsidRDefault="00F40F10" w:rsidP="00641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lastRenderedPageBreak/>
              <w:t>2. Fiskālā ietekme uz pašvaldības budžetu, iekļaujot attiecīgus aprēķinus</w:t>
            </w:r>
          </w:p>
          <w:p w14:paraId="2A1F3F6E" w14:textId="334763DA" w:rsidR="00F40F10" w:rsidRPr="002B02E4" w:rsidRDefault="00F40F10" w:rsidP="00641315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2B02E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Finansējums tiek piešķirts no budžeta programmas 01.25.00. “Apkaimju attīstības programma” līdzekļiem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, </w:t>
            </w:r>
            <w:r w:rsidR="001F2C81" w:rsidRPr="00D62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maksimālo summu paredzot līdz 10</w:t>
            </w:r>
            <w:r w:rsidR="001F2C8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</w:t>
            </w:r>
            <w:r w:rsidR="001F2C81" w:rsidRPr="00D62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000</w:t>
            </w:r>
            <w:r w:rsidR="001F2C8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</w:t>
            </w:r>
            <w:r w:rsidR="001F2C81" w:rsidRPr="00D625CD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  <w:lang w:eastAsia="lv-LV"/>
              </w:rPr>
              <w:t>euro</w:t>
            </w:r>
            <w:r w:rsidR="001F2C81" w:rsidRPr="00D62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, kas veido 90</w:t>
            </w:r>
            <w:r w:rsidR="001F2C8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</w:t>
            </w:r>
            <w:r w:rsidR="001F2C81" w:rsidRPr="00D62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% no izmaksām atbalstāmo darbību sasniegšanai.</w:t>
            </w:r>
          </w:p>
          <w:p w14:paraId="0BD13821" w14:textId="54CE7AD6" w:rsidR="00F40F10" w:rsidRPr="0093053D" w:rsidRDefault="00F40F10" w:rsidP="00641315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2B02E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Pašvaldības budžeta izdevumi atkarīgi no iesniegto projektu skaita un to realizācijai piešķirtajiem finanšu līdzekļiem. </w:t>
            </w:r>
          </w:p>
        </w:tc>
      </w:tr>
      <w:tr w:rsidR="00F40F10" w14:paraId="1081BCA3" w14:textId="77777777" w:rsidTr="00196530">
        <w:tc>
          <w:tcPr>
            <w:tcW w:w="0" w:type="auto"/>
          </w:tcPr>
          <w:p w14:paraId="1582C5D1" w14:textId="77777777" w:rsidR="00F40F10" w:rsidRPr="00FF1475" w:rsidRDefault="00F40F10" w:rsidP="006413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 xml:space="preserve">3. Sociālā ietekme, ietekme uz vidi, iedzīvotāju veselību, uzņēmējdarbības vidi pašvaldības teritorijā, kā arī plānotā regulējuma ietekme uz konkurenci (aktuālā </w:t>
            </w:r>
            <w:r w:rsidRPr="00FF14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situācija, prognozes tirgū un atbilstība brīvai un godīgai konkurencei)</w:t>
            </w:r>
          </w:p>
          <w:p w14:paraId="54EBADC7" w14:textId="24444D58" w:rsidR="00F40F10" w:rsidRDefault="00F40F10" w:rsidP="00641315">
            <w:pPr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FF147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Ar Saistošiem noteikumiem netiek mainītas iepriekš </w:t>
            </w:r>
            <w:r w:rsidRPr="00FF14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Saistošajos noteikumos Nr. RD-25-32</w:t>
            </w:r>
            <w:r w:rsidR="001F2C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  <w:r w:rsidRPr="00FF14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-sn</w:t>
            </w:r>
            <w:r w:rsidRPr="00FF147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minētās ietekmes.</w:t>
            </w:r>
            <w:r w:rsidR="007114C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Tiek paplašināta </w:t>
            </w:r>
            <w:r w:rsidR="00FB146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līdzfinansējuma izlietotojumam paredzētās atbalstāmmās darbības, iekļaujot tajās arī vides pieejamības uzlabojumus ārpus ēkas</w:t>
            </w:r>
            <w:r w:rsidR="000F4E4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, markīz</w:t>
            </w:r>
            <w:r w:rsidR="00A10C5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es un parkletu izvietošanu</w:t>
            </w:r>
            <w:r w:rsidR="000E1F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. Tas paplašinās potenciālo līdzfinansējuma saņēmēju skaitu un potenciāli uzlabos vides pieejamības iespējas </w:t>
            </w:r>
            <w:r w:rsidR="00DF50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tirdzniecības vai pakalpojuma sniegšanas vietās.</w:t>
            </w:r>
          </w:p>
          <w:p w14:paraId="707696BD" w14:textId="4692F9E1" w:rsidR="00F40F10" w:rsidRPr="00AF5E76" w:rsidRDefault="004371FC" w:rsidP="00641315">
            <w:pPr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Līdzfinansējumam pretendentam turpmāk nebūs nepieciešamība iesniegt būvniecības lietas dokumentāciju, kas </w:t>
            </w:r>
            <w:r w:rsidR="0038599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atvieglos pieteikšanās kārtību. </w:t>
            </w:r>
          </w:p>
        </w:tc>
      </w:tr>
      <w:tr w:rsidR="00F40F10" w14:paraId="09D3CB10" w14:textId="77777777" w:rsidTr="00196530">
        <w:tc>
          <w:tcPr>
            <w:tcW w:w="0" w:type="auto"/>
          </w:tcPr>
          <w:p w14:paraId="5C2E62F3" w14:textId="77777777" w:rsidR="00F40F10" w:rsidRPr="00E4791C" w:rsidRDefault="00F40F10" w:rsidP="006413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4. Ietekme uz administratīvajām procedūrām un to izmaksām gan attiecībā uz saimnieciskās darbības veicējiem, gan fiziskajām personām un nevalstiskā sektora organizācijām, gan budžeta finansētām institūcijām</w:t>
            </w:r>
          </w:p>
          <w:p w14:paraId="7A96E4C8" w14:textId="77777777" w:rsidR="00F40F10" w:rsidRPr="00AF5E76" w:rsidRDefault="00F40F10" w:rsidP="00641315">
            <w:pPr>
              <w:ind w:firstLine="73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1F3C4F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Nav ietekmes. Administratīvās procedūras netiek mainītas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>.</w:t>
            </w:r>
            <w:r w:rsidRPr="001F3C4F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</w:tr>
      <w:tr w:rsidR="00F40F10" w14:paraId="47CF00EC" w14:textId="77777777" w:rsidTr="00196530">
        <w:tc>
          <w:tcPr>
            <w:tcW w:w="0" w:type="auto"/>
          </w:tcPr>
          <w:p w14:paraId="1D21E8C6" w14:textId="77777777" w:rsidR="00F40F10" w:rsidRPr="00E4791C" w:rsidRDefault="00F40F10" w:rsidP="006413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5. Ietekme uz pašvaldības funkcijām un cilvēkresursiem</w:t>
            </w:r>
          </w:p>
          <w:p w14:paraId="38EBC41B" w14:textId="77777777" w:rsidR="00F40F10" w:rsidRPr="00AF5E76" w:rsidRDefault="00F40F10" w:rsidP="00641315">
            <w:pPr>
              <w:ind w:firstLine="73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lv-LV"/>
                <w14:ligatures w14:val="standardContextual"/>
              </w:rPr>
            </w:pPr>
            <w:r w:rsidRPr="001F3C4F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lv-LV"/>
                <w14:ligatures w14:val="standardContextual"/>
              </w:rPr>
              <w:t>Saistošo noteikumu izpildei nav nepieciešams veidot jaunas pašvaldības institūcijas, darba vietas vai paplašināt esošo institūciju kompetenci.</w:t>
            </w:r>
          </w:p>
        </w:tc>
      </w:tr>
      <w:tr w:rsidR="00F40F10" w14:paraId="34B50901" w14:textId="77777777" w:rsidTr="00196530">
        <w:tc>
          <w:tcPr>
            <w:tcW w:w="0" w:type="auto"/>
          </w:tcPr>
          <w:p w14:paraId="6B6331A7" w14:textId="77777777" w:rsidR="00F40F10" w:rsidRPr="00E4791C" w:rsidRDefault="00F40F10" w:rsidP="0064131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6. Izpildes nodrošināšana</w:t>
            </w:r>
          </w:p>
          <w:p w14:paraId="5774BE4A" w14:textId="77777777" w:rsidR="00F40F10" w:rsidRPr="00AF5E76" w:rsidRDefault="00F40F10" w:rsidP="00641315">
            <w:pPr>
              <w:ind w:firstLine="73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2B02E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Saistošo noteikumu izpildi nodrošina Rīgas Apkaimju iedzīvotāju centrs.</w:t>
            </w:r>
          </w:p>
        </w:tc>
      </w:tr>
      <w:tr w:rsidR="00F40F10" w14:paraId="69AE06B0" w14:textId="77777777" w:rsidTr="00196530">
        <w:tc>
          <w:tcPr>
            <w:tcW w:w="0" w:type="auto"/>
          </w:tcPr>
          <w:p w14:paraId="20274953" w14:textId="77777777" w:rsidR="00F40F10" w:rsidRPr="00E4791C" w:rsidRDefault="00F40F10" w:rsidP="006413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t>7. Prasību un izmaksu samērīgums pret ieguvumiem, ko sniedz mērķa sasniegšana</w:t>
            </w:r>
          </w:p>
          <w:p w14:paraId="1E34C674" w14:textId="31B79E88" w:rsidR="00F40F10" w:rsidRPr="00E4791C" w:rsidRDefault="00F40F10" w:rsidP="00641315">
            <w:pPr>
              <w:ind w:firstLine="73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2B02E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Pašvaldības izraudzītie līdzekļi ir leģitīmi un rīcība ir atbilstoša augstāka juridiskā spēka </w:t>
            </w:r>
            <w:r w:rsidRPr="002B02E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tiesību normām. Saistošie noteikumi neparedz papildu ierobežojumus </w:t>
            </w:r>
            <w:r w:rsidRPr="002B02E4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privātpersonām, tādējādi nav nepieciešams veikt samērīguma pārbaudi.</w:t>
            </w:r>
            <w:r w:rsidRPr="002B02E4">
              <w:rPr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2B02E4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Pašvaldības ieguldījums un izvirzītās prasības ir samērīgas attiecībā pret atbalstu, ko saņems privāto tiesību juridiskas personas. </w:t>
            </w:r>
            <w:r w:rsidRPr="002B02E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Saistošie noteikumi ir atbilstoši iecerētā mērķa sasniegšanas nodrošināšanai – </w:t>
            </w:r>
            <w:r w:rsidR="001F2C81" w:rsidRPr="00D62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sekmēt saimniecisko darbību ēku pirmajos stāvos </w:t>
            </w:r>
            <w:r w:rsidR="001F2C81" w:rsidRPr="00D625C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Rīgas vēsturiskā centra un tā aizsardzības zon</w:t>
            </w:r>
            <w:r w:rsidR="001F2C8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ā</w:t>
            </w:r>
            <w:r w:rsidR="001F2C81" w:rsidRPr="00D625C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, veicinot uzņēmējdarbības aktivitāti, jaunu uzņēmumu veidošanos un esošās uzņēmējdarbības attīstību un izaugsmi, tādā veidā arī uzlabojot pakalpojumu un preču pieejamību iedzīvotājiem tuvāk dzīvesvietai.</w:t>
            </w:r>
          </w:p>
        </w:tc>
      </w:tr>
      <w:tr w:rsidR="00F40F10" w14:paraId="43D99600" w14:textId="77777777" w:rsidTr="00196530">
        <w:tc>
          <w:tcPr>
            <w:tcW w:w="0" w:type="auto"/>
          </w:tcPr>
          <w:p w14:paraId="544370C4" w14:textId="77777777" w:rsidR="00F40F10" w:rsidRPr="00E4791C" w:rsidRDefault="00F40F10" w:rsidP="0064131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lv-LV"/>
              </w:rPr>
              <w:lastRenderedPageBreak/>
              <w:t>8. Izstrādes gaitā veiktās konsultācijas ar privātpersonām un institūcijām, tostarp sabiedrības viedokļa noskaidrošanā gūtā informācija</w:t>
            </w:r>
          </w:p>
          <w:p w14:paraId="3A49FF72" w14:textId="77777777" w:rsidR="00F40F10" w:rsidRPr="00024E8D" w:rsidRDefault="00F40F10" w:rsidP="00641315">
            <w:pPr>
              <w:ind w:firstLine="7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Saistošo n</w:t>
            </w:r>
            <w:r w:rsidRPr="00AF27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oteikumu projekts no 2025. gada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__</w:t>
            </w:r>
            <w:r w:rsidRPr="00AF27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_______</w:t>
            </w:r>
            <w:r w:rsidRPr="00AF27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 2025. gada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__</w:t>
            </w:r>
            <w:r w:rsidRPr="00AF27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___</w:t>
            </w:r>
            <w:r w:rsidRPr="00AF27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sabiedrības viedokļa noskaidrošanai tika publicēts pašvaldības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oficiālajā </w:t>
            </w:r>
            <w:r w:rsidRPr="00AF27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tīmekļvietnē www.riga.lv. </w:t>
            </w:r>
          </w:p>
        </w:tc>
      </w:tr>
    </w:tbl>
    <w:p w14:paraId="0D5C52D2" w14:textId="77777777" w:rsidR="00F40F10" w:rsidRDefault="00F40F10" w:rsidP="00F40F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E20D72" w14:textId="77777777" w:rsidR="00F40F10" w:rsidRDefault="00F40F10" w:rsidP="00F40F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2A8902" w14:textId="77777777" w:rsidR="00F40F10" w:rsidRDefault="00F40F10" w:rsidP="00F40F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D6ED36" w14:textId="77777777" w:rsidR="00F40F10" w:rsidRPr="00965DE1" w:rsidRDefault="00F40F10" w:rsidP="00F40F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Rīgas d</w:t>
      </w:r>
      <w:r w:rsidRPr="00965DE1">
        <w:rPr>
          <w:rFonts w:ascii="Times New Roman" w:hAnsi="Times New Roman" w:cs="Times New Roman"/>
          <w:sz w:val="26"/>
          <w:szCs w:val="26"/>
        </w:rPr>
        <w:t xml:space="preserve">omes priekšsēdētājs </w:t>
      </w:r>
      <w:r w:rsidRPr="00965DE1">
        <w:rPr>
          <w:rFonts w:ascii="Times New Roman" w:hAnsi="Times New Roman" w:cs="Times New Roman"/>
          <w:sz w:val="26"/>
          <w:szCs w:val="26"/>
        </w:rPr>
        <w:tab/>
      </w:r>
      <w:r w:rsidRPr="00965DE1">
        <w:rPr>
          <w:rFonts w:ascii="Times New Roman" w:hAnsi="Times New Roman" w:cs="Times New Roman"/>
          <w:sz w:val="26"/>
          <w:szCs w:val="26"/>
        </w:rPr>
        <w:tab/>
      </w:r>
      <w:r w:rsidRPr="00965DE1">
        <w:rPr>
          <w:rFonts w:ascii="Times New Roman" w:hAnsi="Times New Roman" w:cs="Times New Roman"/>
          <w:sz w:val="26"/>
          <w:szCs w:val="26"/>
        </w:rPr>
        <w:tab/>
      </w:r>
      <w:r w:rsidRPr="00965DE1">
        <w:rPr>
          <w:rFonts w:ascii="Times New Roman" w:hAnsi="Times New Roman" w:cs="Times New Roman"/>
          <w:sz w:val="26"/>
          <w:szCs w:val="26"/>
        </w:rPr>
        <w:tab/>
      </w:r>
      <w:r w:rsidRPr="00965DE1">
        <w:rPr>
          <w:rFonts w:ascii="Times New Roman" w:hAnsi="Times New Roman" w:cs="Times New Roman"/>
          <w:sz w:val="26"/>
          <w:szCs w:val="26"/>
        </w:rPr>
        <w:tab/>
      </w:r>
      <w:r w:rsidRPr="00965DE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C7B57">
        <w:rPr>
          <w:rFonts w:ascii="Times New Roman" w:hAnsi="Times New Roman" w:cs="Times New Roman"/>
          <w:sz w:val="26"/>
          <w:szCs w:val="26"/>
        </w:rPr>
        <w:t>V.</w:t>
      </w: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</w:rPr>
        <w:t>Kleinbergs</w:t>
      </w:r>
      <w:proofErr w:type="spellEnd"/>
    </w:p>
    <w:p w14:paraId="02572882" w14:textId="77777777" w:rsidR="00F40F10" w:rsidRPr="002A5EA3" w:rsidRDefault="00F40F10" w:rsidP="00F40F10"/>
    <w:p w14:paraId="64B9A850" w14:textId="77777777" w:rsidR="00F40F10" w:rsidRDefault="00F40F10" w:rsidP="00F40F10"/>
    <w:p w14:paraId="6035C71F" w14:textId="77777777" w:rsidR="001844A3" w:rsidRDefault="001844A3"/>
    <w:sectPr w:rsidR="001844A3" w:rsidSect="00F40F10">
      <w:headerReference w:type="defaul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DF8E" w14:textId="77777777" w:rsidR="00EC5F16" w:rsidRDefault="00EC5F16">
      <w:pPr>
        <w:spacing w:after="0" w:line="240" w:lineRule="auto"/>
      </w:pPr>
      <w:r>
        <w:separator/>
      </w:r>
    </w:p>
  </w:endnote>
  <w:endnote w:type="continuationSeparator" w:id="0">
    <w:p w14:paraId="5367BAC0" w14:textId="77777777" w:rsidR="00EC5F16" w:rsidRDefault="00EC5F16">
      <w:pPr>
        <w:spacing w:after="0" w:line="240" w:lineRule="auto"/>
      </w:pPr>
      <w:r>
        <w:continuationSeparator/>
      </w:r>
    </w:p>
  </w:endnote>
  <w:endnote w:type="continuationNotice" w:id="1">
    <w:p w14:paraId="00D55A8B" w14:textId="77777777" w:rsidR="00EC5F16" w:rsidRDefault="00EC5F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6887" w14:textId="77777777" w:rsidR="00EC5F16" w:rsidRDefault="00EC5F16">
      <w:pPr>
        <w:spacing w:after="0" w:line="240" w:lineRule="auto"/>
      </w:pPr>
      <w:r>
        <w:separator/>
      </w:r>
    </w:p>
  </w:footnote>
  <w:footnote w:type="continuationSeparator" w:id="0">
    <w:p w14:paraId="2CB330EE" w14:textId="77777777" w:rsidR="00EC5F16" w:rsidRDefault="00EC5F16">
      <w:pPr>
        <w:spacing w:after="0" w:line="240" w:lineRule="auto"/>
      </w:pPr>
      <w:r>
        <w:continuationSeparator/>
      </w:r>
    </w:p>
  </w:footnote>
  <w:footnote w:type="continuationNotice" w:id="1">
    <w:p w14:paraId="5D7D58AD" w14:textId="77777777" w:rsidR="00EC5F16" w:rsidRDefault="00EC5F16">
      <w:pPr>
        <w:spacing w:after="0" w:line="240" w:lineRule="auto"/>
      </w:pPr>
    </w:p>
  </w:footnote>
  <w:footnote w:id="2">
    <w:p w14:paraId="35FE17E2" w14:textId="7CF16551" w:rsidR="003A56E1" w:rsidRDefault="003A56E1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A56E1">
          <w:rPr>
            <w:rStyle w:val="Hipersaite"/>
          </w:rPr>
          <w:t>riga.lv/lv/</w:t>
        </w:r>
        <w:proofErr w:type="spellStart"/>
        <w:r w:rsidRPr="003A56E1">
          <w:rPr>
            <w:rStyle w:val="Hipersaite"/>
          </w:rPr>
          <w:t>media</w:t>
        </w:r>
        <w:proofErr w:type="spellEnd"/>
        <w:r w:rsidRPr="003A56E1">
          <w:rPr>
            <w:rStyle w:val="Hipersaite"/>
          </w:rPr>
          <w:t>/47607/</w:t>
        </w:r>
        <w:proofErr w:type="spellStart"/>
        <w:r w:rsidRPr="003A56E1">
          <w:rPr>
            <w:rStyle w:val="Hipersaite"/>
          </w:rPr>
          <w:t>download?attac</w:t>
        </w:r>
        <w:r w:rsidRPr="003A56E1">
          <w:rPr>
            <w:rStyle w:val="Hipersaite"/>
          </w:rPr>
          <w:t>h</w:t>
        </w:r>
        <w:r w:rsidRPr="003A56E1">
          <w:rPr>
            <w:rStyle w:val="Hipersaite"/>
          </w:rPr>
          <w:t>ment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5619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751CBE7B" w14:textId="77777777" w:rsidR="005A0CAC" w:rsidRPr="00464AA1" w:rsidRDefault="005A0CAC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64AA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64AA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64AA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464AA1">
          <w:rPr>
            <w:rFonts w:ascii="Times New Roman" w:hAnsi="Times New Roman" w:cs="Times New Roman"/>
            <w:sz w:val="26"/>
            <w:szCs w:val="26"/>
          </w:rPr>
          <w:t>2</w:t>
        </w:r>
        <w:r w:rsidRPr="00464AA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AC4593C" w14:textId="77777777" w:rsidR="005A0CAC" w:rsidRDefault="005A0CA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0B37"/>
    <w:multiLevelType w:val="hybridMultilevel"/>
    <w:tmpl w:val="CBF89AA4"/>
    <w:lvl w:ilvl="0" w:tplc="0426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 w15:restartNumberingAfterBreak="0">
    <w:nsid w:val="3A731BA1"/>
    <w:multiLevelType w:val="hybridMultilevel"/>
    <w:tmpl w:val="805A59B6"/>
    <w:lvl w:ilvl="0" w:tplc="5AE0B160">
      <w:start w:val="2"/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 w16cid:durableId="1713535598">
    <w:abstractNumId w:val="1"/>
  </w:num>
  <w:num w:numId="2" w16cid:durableId="150701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10"/>
    <w:rsid w:val="0006453D"/>
    <w:rsid w:val="00066D9A"/>
    <w:rsid w:val="000701E2"/>
    <w:rsid w:val="000E1FE0"/>
    <w:rsid w:val="000E31FE"/>
    <w:rsid w:val="000E3DCE"/>
    <w:rsid w:val="000E3FBE"/>
    <w:rsid w:val="000F4E41"/>
    <w:rsid w:val="00172AD2"/>
    <w:rsid w:val="001747A8"/>
    <w:rsid w:val="001844A3"/>
    <w:rsid w:val="00196530"/>
    <w:rsid w:val="001D7E99"/>
    <w:rsid w:val="001E18EE"/>
    <w:rsid w:val="001F2C81"/>
    <w:rsid w:val="002028E9"/>
    <w:rsid w:val="00270D9E"/>
    <w:rsid w:val="002A226C"/>
    <w:rsid w:val="002F327D"/>
    <w:rsid w:val="00334C0B"/>
    <w:rsid w:val="003430FA"/>
    <w:rsid w:val="00373483"/>
    <w:rsid w:val="00385996"/>
    <w:rsid w:val="003A56E1"/>
    <w:rsid w:val="003C7F03"/>
    <w:rsid w:val="004371C3"/>
    <w:rsid w:val="004371FC"/>
    <w:rsid w:val="00483454"/>
    <w:rsid w:val="004F2EE0"/>
    <w:rsid w:val="00514E3C"/>
    <w:rsid w:val="00514ED5"/>
    <w:rsid w:val="005A0CAC"/>
    <w:rsid w:val="005A1DE8"/>
    <w:rsid w:val="005C2FB7"/>
    <w:rsid w:val="005E0875"/>
    <w:rsid w:val="00615358"/>
    <w:rsid w:val="00622DA2"/>
    <w:rsid w:val="00652150"/>
    <w:rsid w:val="0065428E"/>
    <w:rsid w:val="006F634B"/>
    <w:rsid w:val="007114CA"/>
    <w:rsid w:val="00714C0D"/>
    <w:rsid w:val="00733929"/>
    <w:rsid w:val="0076411C"/>
    <w:rsid w:val="0079285F"/>
    <w:rsid w:val="007D7452"/>
    <w:rsid w:val="00806FA2"/>
    <w:rsid w:val="00822A7C"/>
    <w:rsid w:val="00851970"/>
    <w:rsid w:val="00856339"/>
    <w:rsid w:val="00864102"/>
    <w:rsid w:val="008B6266"/>
    <w:rsid w:val="008B6D52"/>
    <w:rsid w:val="00983BE6"/>
    <w:rsid w:val="009F5AB8"/>
    <w:rsid w:val="00A10C59"/>
    <w:rsid w:val="00A37AA8"/>
    <w:rsid w:val="00A40829"/>
    <w:rsid w:val="00AD7047"/>
    <w:rsid w:val="00AF1650"/>
    <w:rsid w:val="00B92022"/>
    <w:rsid w:val="00C47F0B"/>
    <w:rsid w:val="00C9473C"/>
    <w:rsid w:val="00D01079"/>
    <w:rsid w:val="00D162CB"/>
    <w:rsid w:val="00D34DB1"/>
    <w:rsid w:val="00D6416D"/>
    <w:rsid w:val="00DF50F7"/>
    <w:rsid w:val="00E05A5D"/>
    <w:rsid w:val="00E93D2A"/>
    <w:rsid w:val="00EA25A2"/>
    <w:rsid w:val="00EC5F16"/>
    <w:rsid w:val="00F03248"/>
    <w:rsid w:val="00F40F10"/>
    <w:rsid w:val="00F5755B"/>
    <w:rsid w:val="00F63A11"/>
    <w:rsid w:val="00FB146C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F4928"/>
  <w15:chartTrackingRefBased/>
  <w15:docId w15:val="{68CB4997-7203-4822-A595-434E258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0F10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40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4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40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40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40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40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40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40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40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40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40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40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40F1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40F1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40F1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40F1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40F1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40F1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40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4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40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40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40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40F1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40F1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40F1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40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40F1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40F10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40F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40F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40F10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40F1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40F1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40F1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F2C8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F2C81"/>
    <w:rPr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E05A5D"/>
    <w:pPr>
      <w:spacing w:after="0" w:line="240" w:lineRule="auto"/>
    </w:pPr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semiHidden/>
    <w:unhideWhenUsed/>
    <w:rsid w:val="00AF1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AF1650"/>
    <w:rPr>
      <w:kern w:val="0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A56E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A56E1"/>
    <w:rPr>
      <w:kern w:val="0"/>
      <w:sz w:val="20"/>
      <w:szCs w:val="20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A56E1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3A56E1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A56E1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701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ga.lv/lv/media/47607/download?attachmen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6889c-40b1-4ab1-be8b-a2f0ea253c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89D47FB1E9D8345BED188971695D294" ma:contentTypeVersion="15" ma:contentTypeDescription="Izveidot jaunu dokumentu." ma:contentTypeScope="" ma:versionID="4d8c52e038fb462f506b59d04ffc7339">
  <xsd:schema xmlns:xsd="http://www.w3.org/2001/XMLSchema" xmlns:xs="http://www.w3.org/2001/XMLSchema" xmlns:p="http://schemas.microsoft.com/office/2006/metadata/properties" xmlns:ns3="5d46889c-40b1-4ab1-be8b-a2f0ea253c31" xmlns:ns4="35613da3-9824-4e59-9389-d031d2f44f53" targetNamespace="http://schemas.microsoft.com/office/2006/metadata/properties" ma:root="true" ma:fieldsID="fccf6a0713c88a16fd294d9c6072d654" ns3:_="" ns4:_="">
    <xsd:import namespace="5d46889c-40b1-4ab1-be8b-a2f0ea253c31"/>
    <xsd:import namespace="35613da3-9824-4e59-9389-d031d2f44f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889c-40b1-4ab1-be8b-a2f0ea253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3da3-9824-4e59-9389-d031d2f44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891C2-336B-4B77-AEC4-D9D778B0E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084B1-17BD-4F94-8616-E73C40EDF4D4}">
  <ds:schemaRefs>
    <ds:schemaRef ds:uri="http://schemas.microsoft.com/office/2006/metadata/properties"/>
    <ds:schemaRef ds:uri="http://schemas.microsoft.com/office/infopath/2007/PartnerControls"/>
    <ds:schemaRef ds:uri="5d46889c-40b1-4ab1-be8b-a2f0ea253c31"/>
  </ds:schemaRefs>
</ds:datastoreItem>
</file>

<file path=customXml/itemProps3.xml><?xml version="1.0" encoding="utf-8"?>
<ds:datastoreItem xmlns:ds="http://schemas.openxmlformats.org/officeDocument/2006/customXml" ds:itemID="{85DAAB27-AB64-4D4B-820E-A4644156A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4048F-F32C-4098-A72A-9107660EF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889c-40b1-4ab1-be8b-a2f0ea253c31"/>
    <ds:schemaRef ds:uri="35613da3-9824-4e59-9389-d031d2f44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4278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Eisaka</dc:creator>
  <cp:keywords/>
  <dc:description/>
  <cp:lastModifiedBy>Andris Lišmanis</cp:lastModifiedBy>
  <cp:revision>44</cp:revision>
  <dcterms:created xsi:type="dcterms:W3CDTF">2025-11-13T11:07:00Z</dcterms:created>
  <dcterms:modified xsi:type="dcterms:W3CDTF">2025-11-14T10:41:00Z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0x010100E89D47FB1E9D8345BED188971695D294</vt:lpwstr>
  </property>
</Properties>
</file>