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F818" w14:textId="77777777" w:rsidR="007752F6" w:rsidRPr="00965DE1" w:rsidRDefault="007752F6" w:rsidP="00F10E25">
      <w:pPr>
        <w:shd w:val="clear" w:color="auto" w:fill="FFFFFF"/>
        <w:spacing w:after="0" w:line="240" w:lineRule="auto"/>
        <w:jc w:val="center"/>
        <w:rPr>
          <w:rFonts w:ascii="Times New Roman" w:eastAsia="Times New Roman" w:hAnsi="Times New Roman" w:cs="Times New Roman"/>
          <w:b/>
          <w:bCs/>
          <w:color w:val="535353"/>
          <w:sz w:val="26"/>
          <w:szCs w:val="26"/>
          <w:lang w:eastAsia="lv-LV"/>
        </w:rPr>
      </w:pPr>
    </w:p>
    <w:p w14:paraId="687001B8" w14:textId="77777777" w:rsidR="00965DE1" w:rsidRPr="00965DE1" w:rsidRDefault="00FF14B7" w:rsidP="00965DE1">
      <w:pPr>
        <w:jc w:val="center"/>
        <w:rPr>
          <w:rFonts w:ascii="Times New Roman" w:hAnsi="Times New Roman" w:cs="Times New Roman"/>
          <w:b/>
          <w:noProof/>
          <w:sz w:val="26"/>
          <w:szCs w:val="26"/>
        </w:rPr>
      </w:pPr>
      <w:r w:rsidRPr="00965DE1">
        <w:rPr>
          <w:rFonts w:ascii="Times New Roman" w:hAnsi="Times New Roman" w:cs="Times New Roman"/>
          <w:b/>
          <w:noProof/>
          <w:sz w:val="26"/>
          <w:szCs w:val="26"/>
        </w:rPr>
        <w:t xml:space="preserve">Paskaidrojuma raksts </w:t>
      </w:r>
    </w:p>
    <w:p w14:paraId="6DFB51A6" w14:textId="11DFA795" w:rsidR="00965DE1" w:rsidRDefault="00FF14B7" w:rsidP="00965DE1">
      <w:pPr>
        <w:jc w:val="center"/>
        <w:rPr>
          <w:rFonts w:ascii="Times New Roman" w:hAnsi="Times New Roman" w:cs="Times New Roman"/>
          <w:b/>
          <w:bCs/>
          <w:noProof/>
          <w:sz w:val="26"/>
          <w:szCs w:val="26"/>
        </w:rPr>
      </w:pPr>
      <w:r w:rsidRPr="00965DE1">
        <w:rPr>
          <w:rFonts w:ascii="Times New Roman" w:hAnsi="Times New Roman" w:cs="Times New Roman"/>
          <w:b/>
          <w:bCs/>
          <w:noProof/>
          <w:sz w:val="26"/>
          <w:szCs w:val="26"/>
        </w:rPr>
        <w:t>Rīgas domes #SEDES_NORISES_DATUMS_V_L# saistošajiem noteikumiem Nr. #LEMUMA_NUMURS#</w:t>
      </w:r>
    </w:p>
    <w:p w14:paraId="32F620AC" w14:textId="77777777" w:rsidR="00D91F16" w:rsidRDefault="00FF14B7" w:rsidP="009D01AB">
      <w:pPr>
        <w:shd w:val="clear" w:color="auto" w:fill="FFFFFF"/>
        <w:spacing w:after="0" w:line="240" w:lineRule="auto"/>
        <w:jc w:val="center"/>
        <w:rPr>
          <w:rFonts w:ascii="Times New Roman" w:eastAsia="Aptos" w:hAnsi="Times New Roman" w:cs="Times New Roman"/>
          <w:b/>
          <w:bCs/>
          <w:noProof/>
          <w:sz w:val="26"/>
          <w:szCs w:val="26"/>
        </w:rPr>
      </w:pPr>
      <w:r>
        <w:rPr>
          <w:rFonts w:ascii="Times New Roman" w:eastAsia="Aptos" w:hAnsi="Times New Roman" w:cs="Times New Roman"/>
          <w:b/>
          <w:bCs/>
          <w:noProof/>
          <w:sz w:val="26"/>
          <w:szCs w:val="26"/>
        </w:rPr>
        <w:t>“</w:t>
      </w:r>
      <w:r w:rsidRPr="009D01AB">
        <w:rPr>
          <w:rFonts w:ascii="Times New Roman" w:eastAsia="Aptos" w:hAnsi="Times New Roman" w:cs="Times New Roman"/>
          <w:b/>
          <w:bCs/>
          <w:noProof/>
          <w:sz w:val="26"/>
          <w:szCs w:val="26"/>
        </w:rPr>
        <w:t xml:space="preserve">Grozījumi Rīgas domes 2023. gada 28. jūnija saistošajos noteikumos </w:t>
      </w:r>
    </w:p>
    <w:p w14:paraId="32EEA3BD" w14:textId="56987CBC" w:rsidR="009D01AB" w:rsidRPr="009D01AB" w:rsidRDefault="00FF14B7" w:rsidP="009D01AB">
      <w:pPr>
        <w:shd w:val="clear" w:color="auto" w:fill="FFFFFF"/>
        <w:spacing w:after="0" w:line="240" w:lineRule="auto"/>
        <w:jc w:val="center"/>
        <w:rPr>
          <w:rFonts w:ascii="Times New Roman" w:eastAsia="Aptos" w:hAnsi="Times New Roman" w:cs="Times New Roman"/>
          <w:b/>
          <w:bCs/>
          <w:noProof/>
          <w:sz w:val="26"/>
          <w:szCs w:val="26"/>
        </w:rPr>
      </w:pPr>
      <w:r w:rsidRPr="009D01AB">
        <w:rPr>
          <w:rFonts w:ascii="Times New Roman" w:eastAsia="Aptos" w:hAnsi="Times New Roman" w:cs="Times New Roman"/>
          <w:b/>
          <w:bCs/>
          <w:noProof/>
          <w:sz w:val="26"/>
          <w:szCs w:val="26"/>
        </w:rPr>
        <w:t xml:space="preserve">Nr. RD-23-207-sn </w:t>
      </w:r>
      <w:r w:rsidR="003F2DF7">
        <w:rPr>
          <w:rFonts w:ascii="Times New Roman" w:eastAsia="Aptos" w:hAnsi="Times New Roman" w:cs="Times New Roman"/>
          <w:b/>
          <w:bCs/>
          <w:noProof/>
          <w:sz w:val="26"/>
          <w:szCs w:val="26"/>
        </w:rPr>
        <w:t>“</w:t>
      </w:r>
      <w:r w:rsidRPr="009D01AB">
        <w:rPr>
          <w:rFonts w:ascii="Times New Roman" w:eastAsia="Aptos" w:hAnsi="Times New Roman" w:cs="Times New Roman"/>
          <w:b/>
          <w:bCs/>
          <w:noProof/>
          <w:sz w:val="26"/>
          <w:szCs w:val="26"/>
        </w:rPr>
        <w:t>Par Rīgas valstspilsētas pašvaldības līdzfinansējumu dzīvojamo māju pieslēguma centralizētajai kanalizācijas sistēmai būvniecības izdevumu kompensēšanai</w:t>
      </w:r>
      <w:r w:rsidR="003F2DF7">
        <w:rPr>
          <w:rFonts w:ascii="Times New Roman" w:eastAsia="Aptos" w:hAnsi="Times New Roman" w:cs="Times New Roman"/>
          <w:b/>
          <w:bCs/>
          <w:noProof/>
          <w:sz w:val="26"/>
          <w:szCs w:val="26"/>
        </w:rPr>
        <w:t>”</w:t>
      </w:r>
      <w:r>
        <w:rPr>
          <w:rFonts w:ascii="Times New Roman" w:eastAsia="Aptos" w:hAnsi="Times New Roman" w:cs="Times New Roman"/>
          <w:b/>
          <w:bCs/>
          <w:noProof/>
          <w:sz w:val="26"/>
          <w:szCs w:val="26"/>
        </w:rPr>
        <w:t>”</w:t>
      </w:r>
    </w:p>
    <w:p w14:paraId="080C4BD3" w14:textId="77777777" w:rsidR="009D01AB" w:rsidRPr="009D01AB" w:rsidRDefault="009D01AB" w:rsidP="009D01AB">
      <w:pPr>
        <w:shd w:val="clear" w:color="auto" w:fill="FFFFFF"/>
        <w:spacing w:after="0" w:line="240" w:lineRule="auto"/>
        <w:jc w:val="center"/>
        <w:rPr>
          <w:rFonts w:ascii="Times New Roman" w:eastAsia="Aptos" w:hAnsi="Times New Roman" w:cs="Times New Roman"/>
          <w:b/>
          <w:bCs/>
          <w:noProof/>
          <w:sz w:val="26"/>
          <w:szCs w:val="26"/>
        </w:rPr>
      </w:pPr>
    </w:p>
    <w:tbl>
      <w:tblPr>
        <w:tblStyle w:val="Reatabula"/>
        <w:tblW w:w="0" w:type="auto"/>
        <w:tblLook w:val="04A0" w:firstRow="1" w:lastRow="0" w:firstColumn="1" w:lastColumn="0" w:noHBand="0" w:noVBand="1"/>
      </w:tblPr>
      <w:tblGrid>
        <w:gridCol w:w="9247"/>
      </w:tblGrid>
      <w:tr w:rsidR="00B72DB5" w14:paraId="1A6E8406" w14:textId="77777777" w:rsidTr="000A4532">
        <w:trPr>
          <w:trHeight w:val="831"/>
        </w:trPr>
        <w:tc>
          <w:tcPr>
            <w:tcW w:w="9247" w:type="dxa"/>
            <w:shd w:val="clear" w:color="auto" w:fill="auto"/>
          </w:tcPr>
          <w:p w14:paraId="5AC5A00A" w14:textId="77777777" w:rsidR="009D01AB" w:rsidRPr="009D01AB" w:rsidRDefault="00FF14B7" w:rsidP="009D01AB">
            <w:pPr>
              <w:shd w:val="clear" w:color="auto" w:fill="FFFFFF"/>
              <w:spacing w:line="293" w:lineRule="atLeast"/>
              <w:contextualSpacing/>
              <w:jc w:val="both"/>
              <w:rPr>
                <w:rFonts w:ascii="Times New Roman" w:eastAsia="Times New Roman" w:hAnsi="Times New Roman" w:cs="Times New Roman"/>
                <w:b/>
                <w:bCs/>
                <w:color w:val="000000"/>
                <w:kern w:val="2"/>
                <w:sz w:val="26"/>
                <w:szCs w:val="26"/>
                <w:lang w:eastAsia="lv-LV"/>
                <w14:ligatures w14:val="standardContextual"/>
              </w:rPr>
            </w:pPr>
            <w:r w:rsidRPr="009D01AB">
              <w:rPr>
                <w:rFonts w:ascii="Times New Roman" w:eastAsia="Times New Roman" w:hAnsi="Times New Roman" w:cs="Times New Roman"/>
                <w:b/>
                <w:bCs/>
                <w:color w:val="000000"/>
                <w:kern w:val="2"/>
                <w:sz w:val="26"/>
                <w:szCs w:val="26"/>
                <w:lang w:eastAsia="lv-LV"/>
                <w14:ligatures w14:val="standardContextual"/>
              </w:rPr>
              <w:t xml:space="preserve">1. Mērķi un </w:t>
            </w:r>
            <w:r w:rsidRPr="009D01AB">
              <w:rPr>
                <w:rFonts w:ascii="Times New Roman" w:eastAsia="Times New Roman" w:hAnsi="Times New Roman" w:cs="Times New Roman"/>
                <w:b/>
                <w:bCs/>
                <w:color w:val="000000"/>
                <w:kern w:val="2"/>
                <w:sz w:val="26"/>
                <w:szCs w:val="26"/>
                <w:lang w:eastAsia="lv-LV"/>
                <w14:ligatures w14:val="standardContextual"/>
              </w:rPr>
              <w:t>nepieciešamības pamatojums, tostarp raksturojot iespējamās alternatīvas, kas neparedz tiesiskā regulējuma izstrādi</w:t>
            </w:r>
          </w:p>
          <w:p w14:paraId="6A9976EC" w14:textId="77777777" w:rsidR="009D01AB" w:rsidRPr="009D01AB" w:rsidRDefault="00FF14B7" w:rsidP="009D01AB">
            <w:pPr>
              <w:shd w:val="clear" w:color="auto" w:fill="FFFFFF"/>
              <w:spacing w:line="293" w:lineRule="atLeast"/>
              <w:contextualSpacing/>
              <w:jc w:val="both"/>
              <w:rPr>
                <w:rFonts w:ascii="Times New Roman" w:eastAsia="Times New Roman" w:hAnsi="Times New Roman" w:cs="Times New Roman"/>
                <w:color w:val="000000"/>
                <w:kern w:val="2"/>
                <w:sz w:val="26"/>
                <w:szCs w:val="26"/>
                <w:lang w:eastAsia="lv-LV"/>
                <w14:ligatures w14:val="standardContextual"/>
              </w:rPr>
            </w:pPr>
            <w:r w:rsidRPr="009D01AB">
              <w:rPr>
                <w:rFonts w:ascii="Times New Roman" w:eastAsia="Times New Roman" w:hAnsi="Times New Roman" w:cs="Times New Roman"/>
                <w:color w:val="000000"/>
                <w:kern w:val="2"/>
                <w:sz w:val="26"/>
                <w:szCs w:val="26"/>
                <w:lang w:eastAsia="lv-LV"/>
                <w14:ligatures w14:val="standardContextual"/>
              </w:rPr>
              <w:t>Ar saistošajiem noteikumiem “Grozījumi Rīgas domes 2023. gada 28. jūnija saistošajos noteikumos Nr. RD-23-207-sn “Par Rīgas valstspilsētas pašvaldības līdzfinansējumu dzīvojamo māju pieslēguma centralizētajai kanalizācijas sistēmai būvniecības izdevumu kompensēšanai”” (turpmāk – Grozījumi) tiek izdarīti grozījumi Rīgas domes 2023. gada 28. jūnija saistošajos noteikumos Nr. RD-23-207-sn “Par Rīgas valstspilsētas pašvaldības līdzfinansējumu dzīvojamo māju pieslēguma centralizētajai kanalizācijas sistēmai būvn</w:t>
            </w:r>
            <w:r w:rsidRPr="009D01AB">
              <w:rPr>
                <w:rFonts w:ascii="Times New Roman" w:eastAsia="Times New Roman" w:hAnsi="Times New Roman" w:cs="Times New Roman"/>
                <w:color w:val="000000"/>
                <w:kern w:val="2"/>
                <w:sz w:val="26"/>
                <w:szCs w:val="26"/>
                <w:lang w:eastAsia="lv-LV"/>
                <w14:ligatures w14:val="standardContextual"/>
              </w:rPr>
              <w:t>iecības izdevumu kompensēšanai” (turpmāk – Saistošie noteikumi Nr. RD-23-207-sn).</w:t>
            </w:r>
          </w:p>
          <w:p w14:paraId="1C742D07" w14:textId="045BEC00" w:rsidR="009D01AB" w:rsidRPr="009D01AB" w:rsidRDefault="00FF14B7" w:rsidP="009D01AB">
            <w:pPr>
              <w:shd w:val="clear" w:color="auto" w:fill="FFFFFF"/>
              <w:spacing w:line="293" w:lineRule="atLeast"/>
              <w:contextualSpacing/>
              <w:jc w:val="both"/>
              <w:rPr>
                <w:rFonts w:ascii="Times New Roman" w:eastAsia="Times New Roman" w:hAnsi="Times New Roman" w:cs="Times New Roman"/>
                <w:color w:val="000000"/>
                <w:kern w:val="2"/>
                <w:sz w:val="26"/>
                <w:szCs w:val="26"/>
                <w:lang w:eastAsia="lv-LV"/>
                <w14:ligatures w14:val="standardContextual"/>
              </w:rPr>
            </w:pPr>
            <w:r w:rsidRPr="009D01AB">
              <w:rPr>
                <w:rFonts w:ascii="Times New Roman" w:eastAsia="Times New Roman" w:hAnsi="Times New Roman" w:cs="Times New Roman"/>
                <w:color w:val="000000"/>
                <w:kern w:val="2"/>
                <w:sz w:val="26"/>
                <w:szCs w:val="26"/>
                <w:lang w:eastAsia="lv-LV"/>
                <w14:ligatures w14:val="standardContextual"/>
              </w:rPr>
              <w:t>Ņemot vērā, ka Eiropas Savienības Kohēzijas fonda līdzfinansētā projekta “Ūdenssaimniecības attīstība Rīgā, 4. kārta” (turpmāk – Projekts) mērķi un rezultatīvie rādītāji tika sasniegti, 2025. gada aprīlī Projekts ir oficiāli atzīts par noslēgtu. Tādējādi par centralizētās kanalizācijas vai centralizētās kanalizācijas un ūdensapgādes sistēmas pieslēgumiem, kas ierīkoti no 2026. gada 1. janvāra Projekta apkaimju iedzīvotāji vairs nevarēs saņemt Rīgas valstspilsētas pašvaldības līdzfinansējumu Rīgas domes 2018</w:t>
            </w:r>
            <w:r w:rsidRPr="009D01AB">
              <w:rPr>
                <w:rFonts w:ascii="Times New Roman" w:eastAsia="Times New Roman" w:hAnsi="Times New Roman" w:cs="Times New Roman"/>
                <w:color w:val="000000"/>
                <w:kern w:val="2"/>
                <w:sz w:val="26"/>
                <w:szCs w:val="26"/>
                <w:lang w:eastAsia="lv-LV"/>
                <w14:ligatures w14:val="standardContextual"/>
              </w:rPr>
              <w:t>. gada 19. decembra saistošo noteikumu Nr. 67 “Par Rīgas valstspilsētas pašvaldības līdzfinansējumu nekustamā īpašuma pieslēgšanai centralizētajai kanalizācijas un ūdensapgādes sistēmai” kārtībā. Turpmāk iedzīvotāji, kuri līdz 2025. gada 31. decembrim nav paguvuši izveidot pieslēgumus pie centralizētās kanalizācijas sistēmas, var saņemt Rīgas valstspilsētas pašvaldības līdzfinansējumu kanalizācijas pieslēguma izdevumu kompensēšanai Saistošo noteikumu Nr. RD</w:t>
            </w:r>
            <w:r w:rsidR="004754C4">
              <w:rPr>
                <w:rFonts w:ascii="Times New Roman" w:eastAsia="Times New Roman" w:hAnsi="Times New Roman" w:cs="Times New Roman"/>
                <w:color w:val="000000"/>
                <w:kern w:val="2"/>
                <w:sz w:val="26"/>
                <w:szCs w:val="26"/>
                <w:lang w:eastAsia="lv-LV"/>
                <w14:ligatures w14:val="standardContextual"/>
              </w:rPr>
              <w:noBreakHyphen/>
            </w:r>
            <w:r w:rsidRPr="009D01AB">
              <w:rPr>
                <w:rFonts w:ascii="Times New Roman" w:eastAsia="Times New Roman" w:hAnsi="Times New Roman" w:cs="Times New Roman"/>
                <w:color w:val="000000"/>
                <w:kern w:val="2"/>
                <w:sz w:val="26"/>
                <w:szCs w:val="26"/>
                <w:lang w:eastAsia="lv-LV"/>
                <w14:ligatures w14:val="standardContextual"/>
              </w:rPr>
              <w:t>23</w:t>
            </w:r>
            <w:r w:rsidR="004754C4">
              <w:rPr>
                <w:rFonts w:ascii="Times New Roman" w:eastAsia="Times New Roman" w:hAnsi="Times New Roman" w:cs="Times New Roman"/>
                <w:color w:val="000000"/>
                <w:kern w:val="2"/>
                <w:sz w:val="26"/>
                <w:szCs w:val="26"/>
                <w:lang w:eastAsia="lv-LV"/>
                <w14:ligatures w14:val="standardContextual"/>
              </w:rPr>
              <w:noBreakHyphen/>
            </w:r>
            <w:r w:rsidRPr="009D01AB">
              <w:rPr>
                <w:rFonts w:ascii="Times New Roman" w:eastAsia="Times New Roman" w:hAnsi="Times New Roman" w:cs="Times New Roman"/>
                <w:color w:val="000000"/>
                <w:kern w:val="2"/>
                <w:sz w:val="26"/>
                <w:szCs w:val="26"/>
                <w:lang w:eastAsia="lv-LV"/>
                <w14:ligatures w14:val="standardContextual"/>
              </w:rPr>
              <w:t>207-sn paredzētajā kārtībā.</w:t>
            </w:r>
          </w:p>
          <w:p w14:paraId="2FF03199" w14:textId="77777777" w:rsidR="009D01AB" w:rsidRPr="009D01AB" w:rsidRDefault="00FF14B7" w:rsidP="009D01AB">
            <w:pPr>
              <w:shd w:val="clear" w:color="auto" w:fill="FFFFFF"/>
              <w:spacing w:line="293" w:lineRule="atLeast"/>
              <w:contextualSpacing/>
              <w:jc w:val="both"/>
              <w:rPr>
                <w:rFonts w:ascii="Times New Roman" w:eastAsia="Times New Roman" w:hAnsi="Times New Roman" w:cs="Times New Roman"/>
                <w:noProof/>
                <w:color w:val="000000"/>
                <w:kern w:val="2"/>
                <w:sz w:val="26"/>
                <w:szCs w:val="26"/>
                <w:lang w:eastAsia="lv-LV"/>
                <w14:ligatures w14:val="standardContextual"/>
              </w:rPr>
            </w:pPr>
            <w:r w:rsidRPr="009D01AB">
              <w:rPr>
                <w:rFonts w:ascii="Times New Roman" w:eastAsia="Times New Roman" w:hAnsi="Times New Roman" w:cs="Times New Roman"/>
                <w:color w:val="000000"/>
                <w:kern w:val="2"/>
                <w:sz w:val="26"/>
                <w:szCs w:val="26"/>
                <w:lang w:eastAsia="lv-LV"/>
                <w14:ligatures w14:val="standardContextual"/>
              </w:rPr>
              <w:t xml:space="preserve">Papildus tiek precizētas Saistošajos noteikumos Nr. RD-23-207-sn ietvertās  prasības, kurām ir jāatbilst, lai saņemtu līdzfinansējumu – lai nodrošinātu, ka līdzfinansējumu saņem persona, kura pieslēgumu ir arī ierīkojusi, tiek noteikts, ka </w:t>
            </w:r>
            <w:bookmarkStart w:id="0" w:name="_Hlk204588414"/>
            <w:r w:rsidRPr="009D01AB">
              <w:rPr>
                <w:rFonts w:ascii="Times New Roman" w:eastAsia="Times New Roman" w:hAnsi="Times New Roman" w:cs="Times New Roman"/>
                <w:color w:val="000000"/>
                <w:kern w:val="2"/>
                <w:sz w:val="26"/>
                <w:szCs w:val="26"/>
                <w:lang w:eastAsia="lv-LV"/>
                <w14:ligatures w14:val="standardContextual"/>
              </w:rPr>
              <w:t xml:space="preserve">personai, kura pretendē uz līdzfinansējumu, īpašuma tiesībām ir jābūt </w:t>
            </w:r>
            <w:r w:rsidRPr="009D01AB">
              <w:rPr>
                <w:rFonts w:ascii="Times New Roman" w:eastAsia="Times New Roman" w:hAnsi="Times New Roman" w:cs="Times New Roman"/>
                <w:noProof/>
                <w:color w:val="000000"/>
                <w:kern w:val="2"/>
                <w:sz w:val="26"/>
                <w:szCs w:val="26"/>
                <w:lang w:eastAsia="lv-LV"/>
                <w14:ligatures w14:val="standardContextual"/>
              </w:rPr>
              <w:t>nostiprinātām zemesgrāmatā arī SIA “Rīgas ūdens</w:t>
            </w:r>
            <w:r w:rsidRPr="009D01AB">
              <w:rPr>
                <w:rFonts w:ascii="Times New Roman" w:eastAsia="Times New Roman" w:hAnsi="Times New Roman" w:cs="Times New Roman"/>
                <w:color w:val="000000"/>
                <w:kern w:val="2"/>
                <w:sz w:val="26"/>
                <w:szCs w:val="26"/>
                <w:lang w:eastAsia="lv-LV"/>
                <w14:ligatures w14:val="standardContextual"/>
              </w:rPr>
              <w:t>”</w:t>
            </w:r>
            <w:r w:rsidRPr="009D01AB">
              <w:rPr>
                <w:rFonts w:ascii="Times New Roman" w:eastAsia="Times New Roman" w:hAnsi="Times New Roman" w:cs="Times New Roman"/>
                <w:noProof/>
                <w:color w:val="000000"/>
                <w:kern w:val="2"/>
                <w:sz w:val="26"/>
                <w:szCs w:val="26"/>
                <w:lang w:eastAsia="lv-LV"/>
                <w14:ligatures w14:val="standardContextual"/>
              </w:rPr>
              <w:t xml:space="preserve"> atzinuma par inženierbūves gatavību ekspluatācijai izsniegšanas dienā</w:t>
            </w:r>
            <w:bookmarkEnd w:id="0"/>
            <w:r w:rsidRPr="009D01AB">
              <w:rPr>
                <w:rFonts w:ascii="Times New Roman" w:eastAsia="Times New Roman" w:hAnsi="Times New Roman" w:cs="Times New Roman"/>
                <w:noProof/>
                <w:color w:val="000000"/>
                <w:kern w:val="2"/>
                <w:sz w:val="26"/>
                <w:szCs w:val="26"/>
                <w:lang w:eastAsia="lv-LV"/>
                <w14:ligatures w14:val="standardContextual"/>
              </w:rPr>
              <w:t xml:space="preserve">, nevis tikai iesniedzot iesniegumu par līdzfinansējuma saņemšanu. </w:t>
            </w:r>
          </w:p>
          <w:p w14:paraId="2CAB7C12" w14:textId="228EF175" w:rsidR="009D01AB" w:rsidRPr="009D01AB" w:rsidRDefault="00FF14B7" w:rsidP="009D01AB">
            <w:pPr>
              <w:shd w:val="clear" w:color="auto" w:fill="FFFFFF"/>
              <w:spacing w:line="293" w:lineRule="atLeast"/>
              <w:contextualSpacing/>
              <w:jc w:val="both"/>
              <w:rPr>
                <w:rFonts w:ascii="Times New Roman" w:eastAsia="Times New Roman" w:hAnsi="Times New Roman" w:cs="Times New Roman"/>
                <w:color w:val="000000"/>
                <w:kern w:val="2"/>
                <w:sz w:val="26"/>
                <w:szCs w:val="26"/>
                <w:lang w:eastAsia="lv-LV"/>
                <w14:ligatures w14:val="standardContextual"/>
              </w:rPr>
            </w:pPr>
            <w:r w:rsidRPr="009D01AB">
              <w:rPr>
                <w:rFonts w:ascii="Times New Roman" w:eastAsia="Times New Roman" w:hAnsi="Times New Roman" w:cs="Times New Roman"/>
                <w:color w:val="000000"/>
                <w:kern w:val="2"/>
                <w:sz w:val="26"/>
                <w:szCs w:val="26"/>
                <w:lang w:eastAsia="lv-LV"/>
                <w14:ligatures w14:val="standardContextual"/>
              </w:rPr>
              <w:t>Tā kā Saistošo noteikumu Nr. RD-23-207-sn mērķis ir veicināt iedzīvotāju pāreju no decentralizētās kanalizācijas sistēmas izmantošanas uz centralizētās kanalizācijas sistēmas izmantošanu, lai nodrošinātu drošu notekūdeņu savākšanu un attīrīšanu, tad pašvaldības līdzfinansējums ir paredzēts, lai atbalstītu jaunu, legālu centralizētās kanalizācijas pieslēgumu izveidi, nevis jau esošu pieslēgumu pārbūvi vai aizstāšanu ar citu. Tāpēc ar Grozījumiem ir paredzēts precizēt regulējumu un noteikt, ka līdzfinansējumu</w:t>
            </w:r>
            <w:r w:rsidRPr="009D01AB">
              <w:rPr>
                <w:rFonts w:ascii="Times New Roman" w:eastAsia="Times New Roman" w:hAnsi="Times New Roman" w:cs="Times New Roman"/>
                <w:color w:val="000000"/>
                <w:kern w:val="2"/>
                <w:sz w:val="26"/>
                <w:szCs w:val="26"/>
                <w:lang w:eastAsia="lv-LV"/>
                <w14:ligatures w14:val="standardContextual"/>
              </w:rPr>
              <w:t xml:space="preserve"> nepiešķir, ja var pierādīt, ka nekustamajam īpašumam līdz Saistošo </w:t>
            </w:r>
            <w:r w:rsidRPr="009D01AB">
              <w:rPr>
                <w:rFonts w:ascii="Times New Roman" w:eastAsia="Times New Roman" w:hAnsi="Times New Roman" w:cs="Times New Roman"/>
                <w:color w:val="000000"/>
                <w:kern w:val="2"/>
                <w:sz w:val="26"/>
                <w:szCs w:val="26"/>
                <w:lang w:eastAsia="lv-LV"/>
                <w14:ligatures w14:val="standardContextual"/>
              </w:rPr>
              <w:lastRenderedPageBreak/>
              <w:t xml:space="preserve">noteikumu Nr. RD-23-207-sn spēkā stāšanās dienai </w:t>
            </w:r>
            <w:r w:rsidRPr="009D01AB">
              <w:rPr>
                <w:rFonts w:ascii="Times New Roman" w:eastAsia="Times New Roman" w:hAnsi="Times New Roman" w:cs="Times New Roman"/>
                <w:color w:val="000000"/>
                <w:kern w:val="2"/>
                <w:sz w:val="26"/>
                <w:szCs w:val="26"/>
                <w:lang w:eastAsia="lv-LV"/>
                <w14:ligatures w14:val="standardContextual"/>
              </w:rPr>
              <w:t xml:space="preserve">jau </w:t>
            </w:r>
            <w:r w:rsidRPr="009D01AB">
              <w:rPr>
                <w:rFonts w:ascii="Times New Roman" w:eastAsia="Times New Roman" w:hAnsi="Times New Roman" w:cs="Times New Roman"/>
                <w:color w:val="000000"/>
                <w:kern w:val="2"/>
                <w:sz w:val="26"/>
                <w:szCs w:val="26"/>
                <w:lang w:eastAsia="lv-LV"/>
                <w14:ligatures w14:val="standardContextual"/>
              </w:rPr>
              <w:t xml:space="preserve">ir bijis </w:t>
            </w:r>
            <w:r w:rsidRPr="009D01AB">
              <w:rPr>
                <w:rFonts w:ascii="Times New Roman" w:eastAsia="Times New Roman" w:hAnsi="Times New Roman" w:cs="Times New Roman"/>
                <w:color w:val="000000"/>
                <w:kern w:val="2"/>
                <w:sz w:val="26"/>
                <w:szCs w:val="26"/>
                <w:lang w:eastAsia="lv-LV"/>
                <w14:ligatures w14:val="standardContextual"/>
              </w:rPr>
              <w:t>ierīkots pieslēgums centralizētajai kanalizācijas sistēmai.</w:t>
            </w:r>
          </w:p>
          <w:p w14:paraId="49C38EF0" w14:textId="77777777" w:rsidR="009D01AB" w:rsidRPr="009D01AB" w:rsidRDefault="00FF14B7" w:rsidP="009D01AB">
            <w:pPr>
              <w:shd w:val="clear" w:color="auto" w:fill="FFFFFF"/>
              <w:spacing w:line="293" w:lineRule="atLeast"/>
              <w:contextualSpacing/>
              <w:jc w:val="both"/>
              <w:rPr>
                <w:rFonts w:ascii="Times New Roman" w:eastAsia="Times New Roman" w:hAnsi="Times New Roman" w:cs="Times New Roman"/>
                <w:color w:val="000000"/>
                <w:kern w:val="2"/>
                <w:sz w:val="26"/>
                <w:szCs w:val="26"/>
                <w:lang w:eastAsia="lv-LV"/>
                <w14:ligatures w14:val="standardContextual"/>
              </w:rPr>
            </w:pPr>
            <w:r w:rsidRPr="009D01AB">
              <w:rPr>
                <w:rFonts w:ascii="Times New Roman" w:eastAsia="Times New Roman" w:hAnsi="Times New Roman" w:cs="Times New Roman"/>
                <w:color w:val="000000"/>
                <w:kern w:val="2"/>
                <w:sz w:val="26"/>
                <w:szCs w:val="26"/>
                <w:lang w:eastAsia="lv-LV"/>
                <w14:ligatures w14:val="standardContextual"/>
              </w:rPr>
              <w:t xml:space="preserve">Lai nodrošinātu vienlīdzīgus nosacījumus līdzfinansējuma piešķiršanai gadījumos, kad īpašumā ir vairākas dzīvojamās mājas, un katrai no tām tiek izbūvēts atsevišķs kanalizācijas pieslēgums, no Saistošajiem noteikumiem Nr. RD-23-207-sn tiek svītrota prasība, kas ierobežo kopējo līdzfinansējuma summu, atsaucoties uz 11. punktā noteikto maksimālo apmēru. </w:t>
            </w:r>
          </w:p>
          <w:p w14:paraId="6E4F6334" w14:textId="60D1E29A" w:rsidR="009D01AB" w:rsidRPr="009D01AB" w:rsidRDefault="00FF14B7" w:rsidP="009D01AB">
            <w:pPr>
              <w:shd w:val="clear" w:color="auto" w:fill="FFFFFF"/>
              <w:spacing w:line="293" w:lineRule="atLeast"/>
              <w:contextualSpacing/>
              <w:jc w:val="both"/>
              <w:rPr>
                <w:rFonts w:ascii="Times New Roman" w:eastAsia="Times New Roman" w:hAnsi="Times New Roman" w:cs="Times New Roman"/>
                <w:color w:val="000000"/>
                <w:kern w:val="2"/>
                <w:sz w:val="26"/>
                <w:szCs w:val="26"/>
                <w:lang w:eastAsia="lv-LV"/>
                <w14:ligatures w14:val="standardContextual"/>
              </w:rPr>
            </w:pPr>
            <w:r w:rsidRPr="009D01AB">
              <w:rPr>
                <w:rFonts w:ascii="Times New Roman" w:eastAsia="Times New Roman" w:hAnsi="Times New Roman" w:cs="Times New Roman"/>
                <w:color w:val="000000"/>
                <w:kern w:val="2"/>
                <w:sz w:val="26"/>
                <w:szCs w:val="26"/>
                <w:lang w:eastAsia="lv-LV"/>
                <w14:ligatures w14:val="standardContextual"/>
              </w:rPr>
              <w:t>Savukārt</w:t>
            </w:r>
            <w:r w:rsidRPr="009D01AB">
              <w:rPr>
                <w:rFonts w:ascii="Times New Roman" w:eastAsia="Times New Roman" w:hAnsi="Times New Roman" w:cs="Times New Roman"/>
                <w:color w:val="000000"/>
                <w:kern w:val="2"/>
                <w:sz w:val="26"/>
                <w:szCs w:val="26"/>
                <w:lang w:eastAsia="lv-LV"/>
                <w14:ligatures w14:val="standardContextual"/>
              </w:rPr>
              <w:t xml:space="preserve"> Saistošo noteikumu 2. pielikumā esošajā tipveida līgumā tiek svītrota prasība, ka pašvaldība aprēķina un samaksā budžetā iedzīvotāju ienākuma nodokli no pašvaldības līdzfinansējuma summas, ņemot vērā normatīvajos aktos noteikto, ka līdzfinansējums nav uzskatāms par ienākumu, kas apliekams ar nodokli. </w:t>
            </w:r>
          </w:p>
          <w:p w14:paraId="769DAFCF" w14:textId="77777777" w:rsidR="009D01AB" w:rsidRPr="009D01AB" w:rsidRDefault="00FF14B7" w:rsidP="009D01AB">
            <w:pPr>
              <w:shd w:val="clear" w:color="auto" w:fill="FFFFFF"/>
              <w:spacing w:line="293" w:lineRule="atLeast"/>
              <w:contextualSpacing/>
              <w:jc w:val="both"/>
              <w:rPr>
                <w:rFonts w:ascii="Times New Roman" w:eastAsia="Times New Roman" w:hAnsi="Times New Roman" w:cs="Times New Roman"/>
                <w:color w:val="000000"/>
                <w:kern w:val="2"/>
                <w:sz w:val="26"/>
                <w:szCs w:val="26"/>
                <w:lang w:eastAsia="lv-LV"/>
                <w14:ligatures w14:val="standardContextual"/>
              </w:rPr>
            </w:pPr>
            <w:r w:rsidRPr="009D01AB">
              <w:rPr>
                <w:rFonts w:ascii="Times New Roman" w:eastAsia="Times New Roman" w:hAnsi="Times New Roman" w:cs="Times New Roman"/>
                <w:color w:val="000000"/>
                <w:kern w:val="2"/>
                <w:sz w:val="26"/>
                <w:szCs w:val="26"/>
                <w:lang w:eastAsia="lv-LV"/>
                <w14:ligatures w14:val="standardContextual"/>
              </w:rPr>
              <w:t xml:space="preserve">Līdz 2025. gada 1. septembrim šīs līdzfinansējuma programmas ietvaros ir piešķirts finansējums 56 322,98 </w:t>
            </w:r>
            <w:r w:rsidRPr="009D01AB">
              <w:rPr>
                <w:rFonts w:ascii="Times New Roman" w:eastAsia="Times New Roman" w:hAnsi="Times New Roman" w:cs="Times New Roman"/>
                <w:i/>
                <w:iCs/>
                <w:color w:val="000000"/>
                <w:kern w:val="2"/>
                <w:sz w:val="26"/>
                <w:szCs w:val="26"/>
                <w:lang w:eastAsia="lv-LV"/>
                <w14:ligatures w14:val="standardContextual"/>
              </w:rPr>
              <w:t>euro</w:t>
            </w:r>
            <w:r w:rsidRPr="009D01AB">
              <w:rPr>
                <w:rFonts w:ascii="Times New Roman" w:eastAsia="Times New Roman" w:hAnsi="Times New Roman" w:cs="Times New Roman"/>
                <w:color w:val="000000"/>
                <w:kern w:val="2"/>
                <w:sz w:val="26"/>
                <w:szCs w:val="26"/>
                <w:lang w:eastAsia="lv-LV"/>
                <w14:ligatures w14:val="standardContextual"/>
              </w:rPr>
              <w:t xml:space="preserve"> apmērā 34 nekustamo īpašumu 47 īpašniekiem.</w:t>
            </w:r>
          </w:p>
        </w:tc>
      </w:tr>
      <w:tr w:rsidR="00B72DB5" w14:paraId="14B7A7A0" w14:textId="77777777" w:rsidTr="000A4532">
        <w:tc>
          <w:tcPr>
            <w:tcW w:w="9247" w:type="dxa"/>
          </w:tcPr>
          <w:p w14:paraId="1CCB9C58" w14:textId="77777777" w:rsidR="009D01AB" w:rsidRPr="009D01AB" w:rsidRDefault="00FF14B7" w:rsidP="009D01AB">
            <w:pPr>
              <w:shd w:val="clear" w:color="auto" w:fill="FFFFFF"/>
              <w:spacing w:line="293" w:lineRule="atLeast"/>
              <w:jc w:val="both"/>
              <w:rPr>
                <w:rFonts w:ascii="Times New Roman" w:eastAsia="Times New Roman" w:hAnsi="Times New Roman" w:cs="Times New Roman"/>
                <w:b/>
                <w:bCs/>
                <w:color w:val="000000"/>
                <w:sz w:val="26"/>
                <w:szCs w:val="26"/>
                <w:lang w:eastAsia="lv-LV"/>
              </w:rPr>
            </w:pPr>
            <w:r w:rsidRPr="009D01AB">
              <w:rPr>
                <w:rFonts w:ascii="Times New Roman" w:eastAsia="Times New Roman" w:hAnsi="Times New Roman" w:cs="Times New Roman"/>
                <w:b/>
                <w:bCs/>
                <w:color w:val="000000"/>
                <w:sz w:val="26"/>
                <w:szCs w:val="26"/>
                <w:lang w:eastAsia="lv-LV"/>
              </w:rPr>
              <w:lastRenderedPageBreak/>
              <w:t>2. Fiskālā ietekme uz pašvaldības budžetu, iekļaujot attiecīgus aprēķinus</w:t>
            </w:r>
          </w:p>
          <w:p w14:paraId="4A399E5B" w14:textId="77777777" w:rsidR="009D01AB" w:rsidRPr="009D01AB" w:rsidRDefault="00FF14B7" w:rsidP="009D01AB">
            <w:pPr>
              <w:shd w:val="clear" w:color="auto" w:fill="FFFFFF"/>
              <w:spacing w:line="293" w:lineRule="atLeast"/>
              <w:contextualSpacing/>
              <w:jc w:val="both"/>
              <w:rPr>
                <w:rFonts w:ascii="Times New Roman" w:eastAsia="Times New Roman" w:hAnsi="Times New Roman" w:cs="Times New Roman"/>
                <w:color w:val="000000"/>
                <w:kern w:val="2"/>
                <w:sz w:val="26"/>
                <w:szCs w:val="26"/>
                <w:lang w:eastAsia="lv-LV"/>
                <w14:ligatures w14:val="standardContextual"/>
              </w:rPr>
            </w:pPr>
            <w:r w:rsidRPr="009D01AB">
              <w:rPr>
                <w:rFonts w:ascii="Times New Roman" w:eastAsia="Times New Roman" w:hAnsi="Times New Roman" w:cs="Times New Roman"/>
                <w:color w:val="000000"/>
                <w:kern w:val="2"/>
                <w:sz w:val="26"/>
                <w:szCs w:val="26"/>
                <w:lang w:eastAsia="lv-LV"/>
                <w14:ligatures w14:val="standardContextual"/>
              </w:rPr>
              <w:t xml:space="preserve">Rīgas valstspilsētas pašvaldības budžetā 2025. gadam ir iekļauta programma “Līdzfinansējums nekustamā īpašuma pieslēgšanai centralizētajai ūdensapgādes sistēmai vai centralizētajai kanalizācijas sistēmai” (programmas kods 01.20.00., funkciju klasifikācijas kods 06.600, Rīgas attīstības programmas prioritātes un uzdevumi/ANO ilgtspējīgas attīstības mērķi (kods) P03 - 04/ANO IAM 6), kurai 2025. gadā ir plānoti līdzekļi 821 300 </w:t>
            </w:r>
            <w:r w:rsidRPr="009D01AB">
              <w:rPr>
                <w:rFonts w:ascii="Times New Roman" w:eastAsia="Times New Roman" w:hAnsi="Times New Roman" w:cs="Times New Roman"/>
                <w:i/>
                <w:iCs/>
                <w:color w:val="000000"/>
                <w:kern w:val="2"/>
                <w:sz w:val="26"/>
                <w:szCs w:val="26"/>
                <w:lang w:eastAsia="lv-LV"/>
                <w14:ligatures w14:val="standardContextual"/>
              </w:rPr>
              <w:t>euro</w:t>
            </w:r>
            <w:r w:rsidRPr="009D01AB">
              <w:rPr>
                <w:rFonts w:ascii="Times New Roman" w:eastAsia="Times New Roman" w:hAnsi="Times New Roman" w:cs="Times New Roman"/>
                <w:color w:val="000000"/>
                <w:kern w:val="2"/>
                <w:sz w:val="26"/>
                <w:szCs w:val="26"/>
                <w:lang w:eastAsia="lv-LV"/>
                <w14:ligatures w14:val="standardContextual"/>
              </w:rPr>
              <w:t xml:space="preserve"> apmērā. </w:t>
            </w:r>
          </w:p>
          <w:p w14:paraId="1F7CE05A" w14:textId="77777777" w:rsidR="009D01AB" w:rsidRPr="009D01AB" w:rsidRDefault="00FF14B7" w:rsidP="009D01AB">
            <w:pPr>
              <w:shd w:val="clear" w:color="auto" w:fill="FFFFFF"/>
              <w:spacing w:line="293" w:lineRule="atLeast"/>
              <w:contextualSpacing/>
              <w:jc w:val="both"/>
              <w:rPr>
                <w:rFonts w:ascii="Times New Roman" w:eastAsia="Times New Roman" w:hAnsi="Times New Roman" w:cs="Times New Roman"/>
                <w:color w:val="000000"/>
                <w:kern w:val="2"/>
                <w:sz w:val="26"/>
                <w:szCs w:val="26"/>
                <w:lang w:eastAsia="lv-LV"/>
                <w14:ligatures w14:val="standardContextual"/>
              </w:rPr>
            </w:pPr>
            <w:r w:rsidRPr="009D01AB">
              <w:rPr>
                <w:rFonts w:ascii="Times New Roman" w:eastAsia="Times New Roman" w:hAnsi="Times New Roman" w:cs="Times New Roman"/>
                <w:color w:val="000000"/>
                <w:kern w:val="2"/>
                <w:sz w:val="26"/>
                <w:szCs w:val="26"/>
                <w:lang w:eastAsia="lv-LV"/>
                <w14:ligatures w14:val="standardContextual"/>
              </w:rPr>
              <w:t>Saskaņā ar SIA “Rīgas ūdens” aplēsēm nepieciešamo līdzfinansējumu nekustamo īpašumu pieslēgšanai centralizētajai kanalizācijas sistēmai ir iespējams finansēt no Rīgas valstspilsētas pašvaldības 2025. gada budžeta programmas “Līdzfinansējums nekustamā īpašuma pieslēgšanai centralizētajai ūdensapgādes sistēmai vai centralizētajai kanalizācijas sistēmai”. Ja finansējums nebūs pietiekams, tad tiks lemts par finansējuma palielinājumu no SIA “Rīgas ūdens” iemaksātajām dividendēm Rīgas valstspilsētas pašvaldības p</w:t>
            </w:r>
            <w:r w:rsidRPr="009D01AB">
              <w:rPr>
                <w:rFonts w:ascii="Times New Roman" w:eastAsia="Times New Roman" w:hAnsi="Times New Roman" w:cs="Times New Roman"/>
                <w:color w:val="000000"/>
                <w:kern w:val="2"/>
                <w:sz w:val="26"/>
                <w:szCs w:val="26"/>
                <w:lang w:eastAsia="lv-LV"/>
                <w14:ligatures w14:val="standardContextual"/>
              </w:rPr>
              <w:t>amatbudžetā.</w:t>
            </w:r>
          </w:p>
        </w:tc>
      </w:tr>
      <w:tr w:rsidR="00B72DB5" w14:paraId="12F77BEE" w14:textId="77777777" w:rsidTr="000A4532">
        <w:tc>
          <w:tcPr>
            <w:tcW w:w="9247" w:type="dxa"/>
          </w:tcPr>
          <w:p w14:paraId="64A6712D" w14:textId="77777777" w:rsidR="009D01AB" w:rsidRPr="009D01AB" w:rsidRDefault="00FF14B7" w:rsidP="009D01AB">
            <w:pPr>
              <w:shd w:val="clear" w:color="auto" w:fill="FFFFFF"/>
              <w:jc w:val="both"/>
              <w:rPr>
                <w:rFonts w:ascii="Times New Roman" w:eastAsia="Times New Roman" w:hAnsi="Times New Roman" w:cs="Times New Roman"/>
                <w:b/>
                <w:bCs/>
                <w:color w:val="000000"/>
                <w:sz w:val="26"/>
                <w:szCs w:val="26"/>
                <w:lang w:eastAsia="lv-LV"/>
              </w:rPr>
            </w:pPr>
            <w:r w:rsidRPr="009D01AB">
              <w:rPr>
                <w:rFonts w:ascii="Times New Roman" w:eastAsia="Times New Roman" w:hAnsi="Times New Roman" w:cs="Times New Roman"/>
                <w:b/>
                <w:bCs/>
                <w:color w:val="000000"/>
                <w:sz w:val="26"/>
                <w:szCs w:val="26"/>
                <w:lang w:eastAsia="lv-LV"/>
              </w:rPr>
              <w:t>3. Sociālā ietekme, ietekme uz vidi, iedzīvotāju veselību, uzņēmējdarbības vidi pašvaldības teritorijā, kā arī plānotā regulējuma ietekme uz konkurenci (aktuālā situācija, prognozes tirgū un atbilstība brīvai un godīgai konkurencei)</w:t>
            </w:r>
          </w:p>
          <w:p w14:paraId="6050B332" w14:textId="77777777" w:rsidR="009D01AB" w:rsidRPr="009D01AB" w:rsidRDefault="00FF14B7" w:rsidP="009D01AB">
            <w:pPr>
              <w:shd w:val="clear" w:color="auto" w:fill="FFFFFF"/>
              <w:spacing w:line="293" w:lineRule="atLeast"/>
              <w:contextualSpacing/>
              <w:jc w:val="both"/>
              <w:rPr>
                <w:rFonts w:ascii="Times New Roman" w:eastAsia="Times New Roman" w:hAnsi="Times New Roman" w:cs="Times New Roman"/>
                <w:color w:val="000000"/>
                <w:kern w:val="2"/>
                <w:sz w:val="26"/>
                <w:szCs w:val="26"/>
                <w:lang w:eastAsia="lv-LV"/>
                <w14:ligatures w14:val="standardContextual"/>
              </w:rPr>
            </w:pPr>
            <w:r w:rsidRPr="009D01AB">
              <w:rPr>
                <w:rFonts w:ascii="Times New Roman" w:eastAsia="Times New Roman" w:hAnsi="Times New Roman" w:cs="Times New Roman"/>
                <w:color w:val="000000"/>
                <w:kern w:val="2"/>
                <w:sz w:val="26"/>
                <w:szCs w:val="26"/>
                <w:lang w:eastAsia="lv-LV"/>
                <w14:ligatures w14:val="standardContextual"/>
              </w:rPr>
              <w:t>Ar Grozījumiem tiek veicināta dzīvojamo māju pieslēgšana centralizētajai kanalizācijas sistēmai. Rīgas valstspilsētas pašvaldības administratīvajā teritorijā nepieciešams veicināt sadzīves notekūdeņu savākšanu, attīrīšanu un novadīšanu, attīstot sabiedrisko ūdenssaimniecības pakalpojumu izmantošanu, uzlabojot to pieejamību un kvalitāti. Tādējādi iedzīvotāji varēs saņemt kvalitatīvus ūdens piegādes un kanalizācijas novadīšanas pakalpojumus, kā arī drošāku un tīrāku apkārtējo vidi.</w:t>
            </w:r>
          </w:p>
        </w:tc>
      </w:tr>
      <w:tr w:rsidR="00B72DB5" w14:paraId="4A1ECCE3" w14:textId="77777777" w:rsidTr="000A4532">
        <w:tc>
          <w:tcPr>
            <w:tcW w:w="9247" w:type="dxa"/>
          </w:tcPr>
          <w:p w14:paraId="3B5A091E" w14:textId="77777777" w:rsidR="009D01AB" w:rsidRPr="009D01AB" w:rsidRDefault="00FF14B7" w:rsidP="009D01AB">
            <w:pPr>
              <w:jc w:val="both"/>
              <w:rPr>
                <w:rFonts w:ascii="Times New Roman" w:eastAsia="Times New Roman" w:hAnsi="Times New Roman" w:cs="Times New Roman"/>
                <w:b/>
                <w:bCs/>
                <w:color w:val="000000"/>
                <w:sz w:val="26"/>
                <w:szCs w:val="26"/>
                <w:lang w:eastAsia="lv-LV"/>
              </w:rPr>
            </w:pPr>
            <w:r w:rsidRPr="009D01AB">
              <w:rPr>
                <w:rFonts w:ascii="Times New Roman" w:eastAsia="Times New Roman" w:hAnsi="Times New Roman" w:cs="Times New Roman"/>
                <w:b/>
                <w:bCs/>
                <w:color w:val="000000"/>
                <w:sz w:val="26"/>
                <w:szCs w:val="26"/>
                <w:lang w:eastAsia="lv-LV"/>
              </w:rPr>
              <w:t>4. Ietekme uz administratīvajām procedūrām un to izmaksām gan attiecībā uz saimnieciskās darbības veicējiem, gan fiziskajām personām un nevalstiskā sektora organizācijām, gan budžeta finansētām institūcijām</w:t>
            </w:r>
          </w:p>
          <w:p w14:paraId="081C8B75" w14:textId="77777777" w:rsidR="009D01AB" w:rsidRPr="009D01AB" w:rsidRDefault="00FF14B7" w:rsidP="009D01AB">
            <w:pPr>
              <w:jc w:val="both"/>
              <w:rPr>
                <w:rFonts w:ascii="Times New Roman" w:eastAsia="Times New Roman" w:hAnsi="Times New Roman" w:cs="Times New Roman"/>
                <w:color w:val="000000"/>
                <w:sz w:val="26"/>
                <w:szCs w:val="26"/>
                <w:lang w:eastAsia="lv-LV"/>
              </w:rPr>
            </w:pPr>
            <w:r w:rsidRPr="009D01AB">
              <w:rPr>
                <w:rFonts w:ascii="Times New Roman" w:eastAsia="Times New Roman" w:hAnsi="Times New Roman" w:cs="Times New Roman"/>
                <w:color w:val="000000"/>
                <w:sz w:val="26"/>
                <w:szCs w:val="26"/>
                <w:lang w:eastAsia="lv-LV"/>
              </w:rPr>
              <w:t>Nav būtiskas ietekmes.</w:t>
            </w:r>
          </w:p>
        </w:tc>
      </w:tr>
      <w:tr w:rsidR="00B72DB5" w14:paraId="3FFADAF7" w14:textId="77777777" w:rsidTr="000A4532">
        <w:tc>
          <w:tcPr>
            <w:tcW w:w="9247" w:type="dxa"/>
          </w:tcPr>
          <w:p w14:paraId="1AA701F3" w14:textId="77777777" w:rsidR="009D01AB" w:rsidRPr="009D01AB" w:rsidRDefault="00FF14B7" w:rsidP="009D01AB">
            <w:pPr>
              <w:jc w:val="both"/>
              <w:rPr>
                <w:rFonts w:ascii="Times New Roman" w:eastAsia="Times New Roman" w:hAnsi="Times New Roman" w:cs="Times New Roman"/>
                <w:b/>
                <w:bCs/>
                <w:color w:val="000000"/>
                <w:sz w:val="26"/>
                <w:szCs w:val="26"/>
                <w:lang w:eastAsia="lv-LV"/>
              </w:rPr>
            </w:pPr>
            <w:r w:rsidRPr="009D01AB">
              <w:rPr>
                <w:rFonts w:ascii="Times New Roman" w:eastAsia="Times New Roman" w:hAnsi="Times New Roman" w:cs="Times New Roman"/>
                <w:b/>
                <w:bCs/>
                <w:color w:val="000000"/>
                <w:sz w:val="26"/>
                <w:szCs w:val="26"/>
                <w:lang w:eastAsia="lv-LV"/>
              </w:rPr>
              <w:t>5. Ietekme uz pašvaldības funkcijām un cilvēkresursiem</w:t>
            </w:r>
          </w:p>
          <w:p w14:paraId="140286D2" w14:textId="77777777" w:rsidR="009D01AB" w:rsidRPr="009D01AB" w:rsidRDefault="00FF14B7" w:rsidP="009D01AB">
            <w:pPr>
              <w:jc w:val="both"/>
              <w:rPr>
                <w:rFonts w:ascii="Times New Roman" w:eastAsia="Times New Roman" w:hAnsi="Times New Roman" w:cs="Times New Roman"/>
                <w:color w:val="000000"/>
                <w:sz w:val="26"/>
                <w:szCs w:val="26"/>
                <w:lang w:eastAsia="lv-LV"/>
              </w:rPr>
            </w:pPr>
            <w:r w:rsidRPr="009D01AB">
              <w:rPr>
                <w:rFonts w:ascii="Times New Roman" w:eastAsia="Times New Roman" w:hAnsi="Times New Roman" w:cs="Times New Roman"/>
                <w:color w:val="000000"/>
                <w:sz w:val="26"/>
                <w:szCs w:val="26"/>
                <w:lang w:eastAsia="lv-LV"/>
              </w:rPr>
              <w:t>Nav būtiskas ietekmes.</w:t>
            </w:r>
          </w:p>
        </w:tc>
      </w:tr>
      <w:tr w:rsidR="00B72DB5" w14:paraId="71859FAB" w14:textId="77777777" w:rsidTr="000A4532">
        <w:tc>
          <w:tcPr>
            <w:tcW w:w="9247" w:type="dxa"/>
          </w:tcPr>
          <w:p w14:paraId="15AF03CF" w14:textId="77777777" w:rsidR="009D01AB" w:rsidRPr="009D01AB" w:rsidRDefault="00FF14B7" w:rsidP="009D01AB">
            <w:pPr>
              <w:rPr>
                <w:rFonts w:ascii="Times New Roman" w:eastAsia="Times New Roman" w:hAnsi="Times New Roman" w:cs="Times New Roman"/>
                <w:b/>
                <w:bCs/>
                <w:color w:val="000000"/>
                <w:sz w:val="26"/>
                <w:szCs w:val="26"/>
                <w:lang w:eastAsia="lv-LV"/>
              </w:rPr>
            </w:pPr>
            <w:r w:rsidRPr="009D01AB">
              <w:rPr>
                <w:rFonts w:ascii="Times New Roman" w:eastAsia="Times New Roman" w:hAnsi="Times New Roman" w:cs="Times New Roman"/>
                <w:b/>
                <w:bCs/>
                <w:color w:val="000000"/>
                <w:sz w:val="26"/>
                <w:szCs w:val="26"/>
                <w:lang w:eastAsia="lv-LV"/>
              </w:rPr>
              <w:t>6. Izpildes nodrošināšana</w:t>
            </w:r>
          </w:p>
          <w:p w14:paraId="7631DA03" w14:textId="77777777" w:rsidR="009D01AB" w:rsidRPr="009D01AB" w:rsidRDefault="00FF14B7" w:rsidP="009D01AB">
            <w:pPr>
              <w:jc w:val="both"/>
              <w:rPr>
                <w:rFonts w:ascii="Times New Roman" w:eastAsia="Times New Roman" w:hAnsi="Times New Roman" w:cs="Times New Roman"/>
                <w:color w:val="000000"/>
                <w:sz w:val="26"/>
                <w:szCs w:val="26"/>
                <w:lang w:eastAsia="lv-LV"/>
              </w:rPr>
            </w:pPr>
            <w:r w:rsidRPr="009D01AB">
              <w:rPr>
                <w:rFonts w:ascii="Times New Roman" w:eastAsia="Times New Roman" w:hAnsi="Times New Roman" w:cs="Times New Roman"/>
                <w:color w:val="000000"/>
                <w:sz w:val="26"/>
                <w:szCs w:val="26"/>
                <w:lang w:eastAsia="lv-LV"/>
              </w:rPr>
              <w:t xml:space="preserve">Līgumu par Rīgas valstspilsētas pašvaldības līdzfinansējumu nekustamā īpašuma pieslēgšanai centralizētajai kanalizācijas sistēmai Rīgas valstspilsētas pašvaldības vārdā </w:t>
            </w:r>
            <w:r w:rsidRPr="009D01AB">
              <w:rPr>
                <w:rFonts w:ascii="Times New Roman" w:eastAsia="Times New Roman" w:hAnsi="Times New Roman" w:cs="Times New Roman"/>
                <w:color w:val="000000"/>
                <w:sz w:val="26"/>
                <w:szCs w:val="26"/>
                <w:lang w:eastAsia="lv-LV"/>
              </w:rPr>
              <w:lastRenderedPageBreak/>
              <w:t xml:space="preserve">slēgs un līgumā noteiktās Rīgas valstspilsētas pašvaldības tiesības un pienākumus (izņemot līdzfinansējuma izmaksu) īstenos SIA “Rīgas ūdens”. </w:t>
            </w:r>
          </w:p>
        </w:tc>
      </w:tr>
      <w:tr w:rsidR="00B72DB5" w14:paraId="40646EBA" w14:textId="77777777" w:rsidTr="000A4532">
        <w:tc>
          <w:tcPr>
            <w:tcW w:w="9247" w:type="dxa"/>
          </w:tcPr>
          <w:p w14:paraId="2E4B699E" w14:textId="77777777" w:rsidR="009D01AB" w:rsidRPr="009D01AB" w:rsidRDefault="00FF14B7" w:rsidP="009D01AB">
            <w:pPr>
              <w:jc w:val="both"/>
              <w:rPr>
                <w:rFonts w:ascii="Times New Roman" w:eastAsia="Times New Roman" w:hAnsi="Times New Roman" w:cs="Times New Roman"/>
                <w:b/>
                <w:bCs/>
                <w:color w:val="000000"/>
                <w:sz w:val="26"/>
                <w:szCs w:val="26"/>
                <w:lang w:eastAsia="lv-LV"/>
              </w:rPr>
            </w:pPr>
            <w:r w:rsidRPr="009D01AB">
              <w:rPr>
                <w:rFonts w:ascii="Times New Roman" w:eastAsia="Times New Roman" w:hAnsi="Times New Roman" w:cs="Times New Roman"/>
                <w:b/>
                <w:bCs/>
                <w:color w:val="000000"/>
                <w:sz w:val="26"/>
                <w:szCs w:val="26"/>
                <w:lang w:eastAsia="lv-LV"/>
              </w:rPr>
              <w:lastRenderedPageBreak/>
              <w:t>7. Prasību un izmaksu samērīgums pret ieguvumiem, ko sniedz mērķa sasniegšana</w:t>
            </w:r>
          </w:p>
          <w:p w14:paraId="1E1FAE0A" w14:textId="77777777" w:rsidR="009D01AB" w:rsidRPr="009D01AB" w:rsidRDefault="00FF14B7" w:rsidP="009D01AB">
            <w:pPr>
              <w:jc w:val="both"/>
              <w:rPr>
                <w:rFonts w:ascii="Times New Roman" w:eastAsia="Times New Roman" w:hAnsi="Times New Roman" w:cs="Times New Roman"/>
                <w:color w:val="000000"/>
                <w:sz w:val="26"/>
                <w:szCs w:val="26"/>
                <w:highlight w:val="yellow"/>
                <w:lang w:eastAsia="lv-LV"/>
              </w:rPr>
            </w:pPr>
            <w:r w:rsidRPr="009D01AB">
              <w:rPr>
                <w:rFonts w:ascii="Times New Roman" w:eastAsia="Times New Roman" w:hAnsi="Times New Roman" w:cs="Times New Roman"/>
                <w:color w:val="000000"/>
                <w:sz w:val="26"/>
                <w:szCs w:val="26"/>
                <w:lang w:eastAsia="lv-LV"/>
              </w:rPr>
              <w:t xml:space="preserve">Ar Grozījumiem tiek paplašināts personu loks, kas var saņemt Rīgas valstspilsētas pašvaldības līdzfinansējumu, lai kompensētu būvdarbu izmaksas pieslēguma centralizētajai kanalizācijas sistēmai izveidošanai – turpmāk Saistošo noteikumu Nr. RD-23-207-sn ietvaros līdzfinansējumu varēs saņemt arī iedzīvotāji, kuru īpašumiem Eiropas Savienības Kohēzijas fonda līdzfinansētā projekta “Ūdenssaimniecības attīstība Rīgā, 4. kārta” ietvaros ir </w:t>
            </w:r>
            <w:r w:rsidRPr="009D01AB">
              <w:rPr>
                <w:rFonts w:ascii="Times New Roman" w:eastAsia="Times New Roman" w:hAnsi="Times New Roman" w:cs="Times New Roman"/>
                <w:noProof/>
                <w:color w:val="000000"/>
                <w:sz w:val="26"/>
                <w:szCs w:val="26"/>
                <w:lang w:eastAsia="lv-LV"/>
              </w:rPr>
              <w:t xml:space="preserve">izbūvēti centralizētās kanalizācijas sistēmas atzari. </w:t>
            </w:r>
          </w:p>
        </w:tc>
      </w:tr>
      <w:tr w:rsidR="00B72DB5" w14:paraId="02C0EDDF" w14:textId="77777777" w:rsidTr="000A4532">
        <w:tc>
          <w:tcPr>
            <w:tcW w:w="9247" w:type="dxa"/>
          </w:tcPr>
          <w:p w14:paraId="67F8BF24" w14:textId="77777777" w:rsidR="009D01AB" w:rsidRPr="009D01AB" w:rsidRDefault="00FF14B7" w:rsidP="009D01AB">
            <w:pPr>
              <w:jc w:val="both"/>
              <w:rPr>
                <w:rFonts w:ascii="Times New Roman" w:eastAsia="Times New Roman" w:hAnsi="Times New Roman" w:cs="Times New Roman"/>
                <w:b/>
                <w:bCs/>
                <w:color w:val="000000"/>
                <w:sz w:val="26"/>
                <w:szCs w:val="26"/>
                <w:lang w:eastAsia="lv-LV"/>
              </w:rPr>
            </w:pPr>
            <w:r w:rsidRPr="009D01AB">
              <w:rPr>
                <w:rFonts w:ascii="Times New Roman" w:eastAsia="Times New Roman" w:hAnsi="Times New Roman" w:cs="Times New Roman"/>
                <w:b/>
                <w:bCs/>
                <w:color w:val="000000"/>
                <w:sz w:val="26"/>
                <w:szCs w:val="26"/>
                <w:lang w:eastAsia="lv-LV"/>
              </w:rPr>
              <w:t>8. Izstrādes gaitā veiktās konsultācijas ar privātpersonām un institūcijām, tostarp sabiedrības viedokļa noskaidrošanā gūtā informācija</w:t>
            </w:r>
          </w:p>
          <w:p w14:paraId="4CC9C5A8" w14:textId="77777777" w:rsidR="009D01AB" w:rsidRPr="009D01AB" w:rsidRDefault="009D01AB" w:rsidP="009D01AB">
            <w:pPr>
              <w:ind w:firstLine="595"/>
              <w:jc w:val="both"/>
              <w:rPr>
                <w:rFonts w:ascii="Times New Roman" w:eastAsia="Times New Roman" w:hAnsi="Times New Roman" w:cs="Times New Roman"/>
                <w:color w:val="000000"/>
                <w:sz w:val="26"/>
                <w:szCs w:val="26"/>
                <w:lang w:eastAsia="lv-LV"/>
              </w:rPr>
            </w:pPr>
          </w:p>
          <w:p w14:paraId="73B0A85A" w14:textId="77777777" w:rsidR="009D01AB" w:rsidRPr="009D01AB" w:rsidRDefault="009D01AB" w:rsidP="009D01AB">
            <w:pPr>
              <w:ind w:firstLine="595"/>
              <w:jc w:val="both"/>
              <w:rPr>
                <w:rFonts w:ascii="Times New Roman" w:eastAsia="Times New Roman" w:hAnsi="Times New Roman" w:cs="Times New Roman"/>
                <w:color w:val="000000"/>
                <w:sz w:val="26"/>
                <w:szCs w:val="26"/>
                <w:lang w:eastAsia="lv-LV"/>
              </w:rPr>
            </w:pPr>
          </w:p>
          <w:p w14:paraId="5B377B3B" w14:textId="77777777" w:rsidR="009D01AB" w:rsidRPr="009D01AB" w:rsidRDefault="009D01AB" w:rsidP="009D01AB">
            <w:pPr>
              <w:ind w:firstLine="595"/>
              <w:jc w:val="both"/>
              <w:rPr>
                <w:rFonts w:ascii="Times New Roman" w:eastAsia="Times New Roman" w:hAnsi="Times New Roman" w:cs="Times New Roman"/>
                <w:color w:val="000000"/>
                <w:sz w:val="26"/>
                <w:szCs w:val="26"/>
                <w:lang w:eastAsia="lv-LV"/>
              </w:rPr>
            </w:pPr>
          </w:p>
          <w:p w14:paraId="7A7F6E0E" w14:textId="77777777" w:rsidR="009D01AB" w:rsidRPr="009D01AB" w:rsidRDefault="009D01AB" w:rsidP="009D01AB">
            <w:pPr>
              <w:ind w:firstLine="595"/>
              <w:jc w:val="both"/>
              <w:rPr>
                <w:rFonts w:ascii="Times New Roman" w:eastAsia="Times New Roman" w:hAnsi="Times New Roman" w:cs="Times New Roman"/>
                <w:color w:val="000000"/>
                <w:sz w:val="26"/>
                <w:szCs w:val="26"/>
                <w:lang w:eastAsia="lv-LV"/>
              </w:rPr>
            </w:pPr>
          </w:p>
          <w:p w14:paraId="05AE174F" w14:textId="77777777" w:rsidR="009D01AB" w:rsidRPr="009D01AB" w:rsidRDefault="009D01AB" w:rsidP="009D01AB">
            <w:pPr>
              <w:jc w:val="both"/>
              <w:rPr>
                <w:rFonts w:ascii="Times New Roman" w:eastAsia="Times New Roman" w:hAnsi="Times New Roman" w:cs="Times New Roman"/>
                <w:color w:val="000000"/>
                <w:sz w:val="26"/>
                <w:szCs w:val="26"/>
                <w:lang w:eastAsia="lv-LV"/>
              </w:rPr>
            </w:pPr>
          </w:p>
        </w:tc>
      </w:tr>
    </w:tbl>
    <w:p w14:paraId="72C06BBC" w14:textId="5AF20DAC" w:rsidR="00D865F3" w:rsidRPr="00965DE1" w:rsidRDefault="00D865F3" w:rsidP="00F10E25">
      <w:pPr>
        <w:spacing w:after="0" w:line="240" w:lineRule="auto"/>
        <w:rPr>
          <w:rFonts w:ascii="Times New Roman" w:hAnsi="Times New Roman" w:cs="Times New Roman"/>
          <w:sz w:val="26"/>
          <w:szCs w:val="26"/>
        </w:rPr>
      </w:pPr>
    </w:p>
    <w:p w14:paraId="13035B6D" w14:textId="02D71335" w:rsidR="00D865F3" w:rsidRPr="00965DE1" w:rsidRDefault="00D865F3" w:rsidP="00F10E25">
      <w:pPr>
        <w:spacing w:after="0" w:line="240" w:lineRule="auto"/>
        <w:rPr>
          <w:rFonts w:ascii="Times New Roman" w:hAnsi="Times New Roman" w:cs="Times New Roman"/>
          <w:sz w:val="26"/>
          <w:szCs w:val="26"/>
        </w:rPr>
      </w:pPr>
    </w:p>
    <w:p w14:paraId="10088AFC" w14:textId="4FDF23C9" w:rsidR="00D865F3" w:rsidRPr="00965DE1" w:rsidRDefault="00FF14B7" w:rsidP="00F10E25">
      <w:pPr>
        <w:spacing w:after="0" w:line="240" w:lineRule="auto"/>
        <w:rPr>
          <w:rFonts w:ascii="Times New Roman" w:hAnsi="Times New Roman" w:cs="Times New Roman"/>
          <w:sz w:val="26"/>
          <w:szCs w:val="26"/>
        </w:rPr>
      </w:pPr>
      <w:r>
        <w:rPr>
          <w:rFonts w:ascii="Times New Roman" w:hAnsi="Times New Roman" w:cs="Times New Roman"/>
          <w:sz w:val="26"/>
          <w:szCs w:val="26"/>
        </w:rPr>
        <w:t>Rīgas d</w:t>
      </w:r>
      <w:r w:rsidRPr="00965DE1">
        <w:rPr>
          <w:rFonts w:ascii="Times New Roman" w:hAnsi="Times New Roman" w:cs="Times New Roman"/>
          <w:sz w:val="26"/>
          <w:szCs w:val="26"/>
        </w:rPr>
        <w:t xml:space="preserve">omes priekšsēdētājs </w:t>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00CC7B57" w:rsidRPr="00CC7B57">
        <w:rPr>
          <w:rFonts w:ascii="Times New Roman" w:hAnsi="Times New Roman" w:cs="Times New Roman"/>
          <w:sz w:val="26"/>
          <w:szCs w:val="26"/>
        </w:rPr>
        <w:t xml:space="preserve">V. </w:t>
      </w:r>
      <w:r w:rsidR="009D01AB">
        <w:rPr>
          <w:rFonts w:ascii="Times New Roman" w:hAnsi="Times New Roman" w:cs="Times New Roman"/>
          <w:sz w:val="26"/>
          <w:szCs w:val="26"/>
        </w:rPr>
        <w:t>Kleinbergs</w:t>
      </w:r>
    </w:p>
    <w:p w14:paraId="6267B39B" w14:textId="77777777" w:rsidR="00FA3E04" w:rsidRPr="00965DE1" w:rsidRDefault="00FA3E04" w:rsidP="00F10E25">
      <w:pPr>
        <w:spacing w:after="0" w:line="240" w:lineRule="auto"/>
        <w:rPr>
          <w:rFonts w:ascii="Times New Roman" w:hAnsi="Times New Roman" w:cs="Times New Roman"/>
          <w:sz w:val="26"/>
          <w:szCs w:val="26"/>
        </w:rPr>
      </w:pPr>
    </w:p>
    <w:sectPr w:rsidR="00FA3E04" w:rsidRPr="00965DE1" w:rsidSect="00472BCD">
      <w:headerReference w:type="default" r:id="rId7"/>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89FF5" w14:textId="77777777" w:rsidR="00FF14B7" w:rsidRDefault="00FF14B7">
      <w:pPr>
        <w:spacing w:after="0" w:line="240" w:lineRule="auto"/>
      </w:pPr>
      <w:r>
        <w:separator/>
      </w:r>
    </w:p>
  </w:endnote>
  <w:endnote w:type="continuationSeparator" w:id="0">
    <w:p w14:paraId="6B48D6B9" w14:textId="77777777" w:rsidR="00FF14B7" w:rsidRDefault="00FF1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86DAF" w14:textId="77777777" w:rsidR="00FF14B7" w:rsidRDefault="00FF14B7">
      <w:pPr>
        <w:spacing w:after="0" w:line="240" w:lineRule="auto"/>
      </w:pPr>
      <w:r>
        <w:separator/>
      </w:r>
    </w:p>
  </w:footnote>
  <w:footnote w:type="continuationSeparator" w:id="0">
    <w:p w14:paraId="0F41D883" w14:textId="77777777" w:rsidR="00FF14B7" w:rsidRDefault="00FF1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61902"/>
      <w:docPartObj>
        <w:docPartGallery w:val="Page Numbers (Top of Page)"/>
        <w:docPartUnique/>
      </w:docPartObj>
    </w:sdtPr>
    <w:sdtEndPr>
      <w:rPr>
        <w:rFonts w:ascii="Times New Roman" w:hAnsi="Times New Roman" w:cs="Times New Roman"/>
        <w:sz w:val="26"/>
        <w:szCs w:val="26"/>
      </w:rPr>
    </w:sdtEndPr>
    <w:sdtContent>
      <w:p w14:paraId="226AE090" w14:textId="1E0A98AC" w:rsidR="00464AA1" w:rsidRPr="00464AA1" w:rsidRDefault="00FF14B7">
        <w:pPr>
          <w:pStyle w:val="Galvene"/>
          <w:jc w:val="center"/>
          <w:rPr>
            <w:rFonts w:ascii="Times New Roman" w:hAnsi="Times New Roman" w:cs="Times New Roman"/>
            <w:sz w:val="26"/>
            <w:szCs w:val="26"/>
          </w:rPr>
        </w:pPr>
        <w:r w:rsidRPr="00464AA1">
          <w:rPr>
            <w:rFonts w:ascii="Times New Roman" w:hAnsi="Times New Roman" w:cs="Times New Roman"/>
            <w:sz w:val="26"/>
            <w:szCs w:val="26"/>
          </w:rPr>
          <w:fldChar w:fldCharType="begin"/>
        </w:r>
        <w:r w:rsidRPr="00464AA1">
          <w:rPr>
            <w:rFonts w:ascii="Times New Roman" w:hAnsi="Times New Roman" w:cs="Times New Roman"/>
            <w:sz w:val="26"/>
            <w:szCs w:val="26"/>
          </w:rPr>
          <w:instrText>PAGE   \* MERGEFORMAT</w:instrText>
        </w:r>
        <w:r w:rsidRPr="00464AA1">
          <w:rPr>
            <w:rFonts w:ascii="Times New Roman" w:hAnsi="Times New Roman" w:cs="Times New Roman"/>
            <w:sz w:val="26"/>
            <w:szCs w:val="26"/>
          </w:rPr>
          <w:fldChar w:fldCharType="separate"/>
        </w:r>
        <w:r w:rsidRPr="00464AA1">
          <w:rPr>
            <w:rFonts w:ascii="Times New Roman" w:hAnsi="Times New Roman" w:cs="Times New Roman"/>
            <w:sz w:val="26"/>
            <w:szCs w:val="26"/>
          </w:rPr>
          <w:t>2</w:t>
        </w:r>
        <w:r w:rsidRPr="00464AA1">
          <w:rPr>
            <w:rFonts w:ascii="Times New Roman" w:hAnsi="Times New Roman" w:cs="Times New Roman"/>
            <w:sz w:val="26"/>
            <w:szCs w:val="26"/>
          </w:rPr>
          <w:fldChar w:fldCharType="end"/>
        </w:r>
      </w:p>
    </w:sdtContent>
  </w:sdt>
  <w:p w14:paraId="18EF6D0A" w14:textId="77777777" w:rsidR="00464AA1" w:rsidRDefault="00464A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C7F2C"/>
    <w:multiLevelType w:val="hybridMultilevel"/>
    <w:tmpl w:val="10E0C2A8"/>
    <w:lvl w:ilvl="0" w:tplc="8E2832B2">
      <w:start w:val="1"/>
      <w:numFmt w:val="decimal"/>
      <w:lvlText w:val="%1."/>
      <w:lvlJc w:val="left"/>
      <w:pPr>
        <w:ind w:left="720" w:hanging="360"/>
      </w:pPr>
    </w:lvl>
    <w:lvl w:ilvl="1" w:tplc="2452B66E">
      <w:start w:val="1"/>
      <w:numFmt w:val="lowerLetter"/>
      <w:lvlText w:val="%2."/>
      <w:lvlJc w:val="left"/>
      <w:pPr>
        <w:ind w:left="1440" w:hanging="360"/>
      </w:pPr>
    </w:lvl>
    <w:lvl w:ilvl="2" w:tplc="533EC732" w:tentative="1">
      <w:start w:val="1"/>
      <w:numFmt w:val="lowerRoman"/>
      <w:lvlText w:val="%3."/>
      <w:lvlJc w:val="right"/>
      <w:pPr>
        <w:ind w:left="2160" w:hanging="180"/>
      </w:pPr>
    </w:lvl>
    <w:lvl w:ilvl="3" w:tplc="5C7EC86C" w:tentative="1">
      <w:start w:val="1"/>
      <w:numFmt w:val="decimal"/>
      <w:lvlText w:val="%4."/>
      <w:lvlJc w:val="left"/>
      <w:pPr>
        <w:ind w:left="2880" w:hanging="360"/>
      </w:pPr>
    </w:lvl>
    <w:lvl w:ilvl="4" w:tplc="5B7C1B1E" w:tentative="1">
      <w:start w:val="1"/>
      <w:numFmt w:val="lowerLetter"/>
      <w:lvlText w:val="%5."/>
      <w:lvlJc w:val="left"/>
      <w:pPr>
        <w:ind w:left="3600" w:hanging="360"/>
      </w:pPr>
    </w:lvl>
    <w:lvl w:ilvl="5" w:tplc="D242B87C" w:tentative="1">
      <w:start w:val="1"/>
      <w:numFmt w:val="lowerRoman"/>
      <w:lvlText w:val="%6."/>
      <w:lvlJc w:val="right"/>
      <w:pPr>
        <w:ind w:left="4320" w:hanging="180"/>
      </w:pPr>
    </w:lvl>
    <w:lvl w:ilvl="6" w:tplc="FCD29F70" w:tentative="1">
      <w:start w:val="1"/>
      <w:numFmt w:val="decimal"/>
      <w:lvlText w:val="%7."/>
      <w:lvlJc w:val="left"/>
      <w:pPr>
        <w:ind w:left="5040" w:hanging="360"/>
      </w:pPr>
    </w:lvl>
    <w:lvl w:ilvl="7" w:tplc="0430EC84" w:tentative="1">
      <w:start w:val="1"/>
      <w:numFmt w:val="lowerLetter"/>
      <w:lvlText w:val="%8."/>
      <w:lvlJc w:val="left"/>
      <w:pPr>
        <w:ind w:left="5760" w:hanging="360"/>
      </w:pPr>
    </w:lvl>
    <w:lvl w:ilvl="8" w:tplc="06847366" w:tentative="1">
      <w:start w:val="1"/>
      <w:numFmt w:val="lowerRoman"/>
      <w:lvlText w:val="%9."/>
      <w:lvlJc w:val="right"/>
      <w:pPr>
        <w:ind w:left="6480" w:hanging="180"/>
      </w:pPr>
    </w:lvl>
  </w:abstractNum>
  <w:abstractNum w:abstractNumId="1" w15:restartNumberingAfterBreak="0">
    <w:nsid w:val="7E5A0C1E"/>
    <w:multiLevelType w:val="hybridMultilevel"/>
    <w:tmpl w:val="20B2CA22"/>
    <w:lvl w:ilvl="0" w:tplc="4490CEA6">
      <w:start w:val="1"/>
      <w:numFmt w:val="decimal"/>
      <w:lvlText w:val="%1."/>
      <w:lvlJc w:val="left"/>
      <w:pPr>
        <w:ind w:left="720" w:hanging="360"/>
      </w:pPr>
      <w:rPr>
        <w:rFonts w:hint="default"/>
      </w:rPr>
    </w:lvl>
    <w:lvl w:ilvl="1" w:tplc="5546ED46" w:tentative="1">
      <w:start w:val="1"/>
      <w:numFmt w:val="lowerLetter"/>
      <w:lvlText w:val="%2."/>
      <w:lvlJc w:val="left"/>
      <w:pPr>
        <w:ind w:left="1440" w:hanging="360"/>
      </w:pPr>
    </w:lvl>
    <w:lvl w:ilvl="2" w:tplc="45D8ECC2" w:tentative="1">
      <w:start w:val="1"/>
      <w:numFmt w:val="lowerRoman"/>
      <w:lvlText w:val="%3."/>
      <w:lvlJc w:val="right"/>
      <w:pPr>
        <w:ind w:left="2160" w:hanging="180"/>
      </w:pPr>
    </w:lvl>
    <w:lvl w:ilvl="3" w:tplc="78247F6C" w:tentative="1">
      <w:start w:val="1"/>
      <w:numFmt w:val="decimal"/>
      <w:lvlText w:val="%4."/>
      <w:lvlJc w:val="left"/>
      <w:pPr>
        <w:ind w:left="2880" w:hanging="360"/>
      </w:pPr>
    </w:lvl>
    <w:lvl w:ilvl="4" w:tplc="C98A420C" w:tentative="1">
      <w:start w:val="1"/>
      <w:numFmt w:val="lowerLetter"/>
      <w:lvlText w:val="%5."/>
      <w:lvlJc w:val="left"/>
      <w:pPr>
        <w:ind w:left="3600" w:hanging="360"/>
      </w:pPr>
    </w:lvl>
    <w:lvl w:ilvl="5" w:tplc="4F8C010A" w:tentative="1">
      <w:start w:val="1"/>
      <w:numFmt w:val="lowerRoman"/>
      <w:lvlText w:val="%6."/>
      <w:lvlJc w:val="right"/>
      <w:pPr>
        <w:ind w:left="4320" w:hanging="180"/>
      </w:pPr>
    </w:lvl>
    <w:lvl w:ilvl="6" w:tplc="2F645D7C" w:tentative="1">
      <w:start w:val="1"/>
      <w:numFmt w:val="decimal"/>
      <w:lvlText w:val="%7."/>
      <w:lvlJc w:val="left"/>
      <w:pPr>
        <w:ind w:left="5040" w:hanging="360"/>
      </w:pPr>
    </w:lvl>
    <w:lvl w:ilvl="7" w:tplc="F3B87CBE" w:tentative="1">
      <w:start w:val="1"/>
      <w:numFmt w:val="lowerLetter"/>
      <w:lvlText w:val="%8."/>
      <w:lvlJc w:val="left"/>
      <w:pPr>
        <w:ind w:left="5760" w:hanging="360"/>
      </w:pPr>
    </w:lvl>
    <w:lvl w:ilvl="8" w:tplc="1B304DDC" w:tentative="1">
      <w:start w:val="1"/>
      <w:numFmt w:val="lowerRoman"/>
      <w:lvlText w:val="%9."/>
      <w:lvlJc w:val="right"/>
      <w:pPr>
        <w:ind w:left="6480" w:hanging="180"/>
      </w:pPr>
    </w:lvl>
  </w:abstractNum>
  <w:num w:numId="1" w16cid:durableId="1581334406">
    <w:abstractNumId w:val="1"/>
  </w:num>
  <w:num w:numId="2" w16cid:durableId="48798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F6"/>
    <w:rsid w:val="001A4A24"/>
    <w:rsid w:val="00271D86"/>
    <w:rsid w:val="002F56BC"/>
    <w:rsid w:val="00351E28"/>
    <w:rsid w:val="003D1D7D"/>
    <w:rsid w:val="003F2DF7"/>
    <w:rsid w:val="00444237"/>
    <w:rsid w:val="00464AA1"/>
    <w:rsid w:val="00472BCD"/>
    <w:rsid w:val="004754C4"/>
    <w:rsid w:val="004E17DC"/>
    <w:rsid w:val="004E403B"/>
    <w:rsid w:val="004E582F"/>
    <w:rsid w:val="00641B27"/>
    <w:rsid w:val="00751899"/>
    <w:rsid w:val="007752F6"/>
    <w:rsid w:val="008C5041"/>
    <w:rsid w:val="008F7581"/>
    <w:rsid w:val="00965DE1"/>
    <w:rsid w:val="009C1D24"/>
    <w:rsid w:val="009D01AB"/>
    <w:rsid w:val="009D76E9"/>
    <w:rsid w:val="00A104BA"/>
    <w:rsid w:val="00B12C1B"/>
    <w:rsid w:val="00B72DB5"/>
    <w:rsid w:val="00CC7B57"/>
    <w:rsid w:val="00CD5B22"/>
    <w:rsid w:val="00D10310"/>
    <w:rsid w:val="00D865F3"/>
    <w:rsid w:val="00D91F16"/>
    <w:rsid w:val="00E4791C"/>
    <w:rsid w:val="00F10E25"/>
    <w:rsid w:val="00FA3E04"/>
    <w:rsid w:val="00FF14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D424"/>
  <w15:chartTrackingRefBased/>
  <w15:docId w15:val="{8B911C2C-1C3A-4583-8FE6-C7FC992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2F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7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752F6"/>
    <w:pPr>
      <w:ind w:left="720"/>
      <w:contextualSpacing/>
    </w:pPr>
  </w:style>
  <w:style w:type="paragraph" w:styleId="Galvene">
    <w:name w:val="header"/>
    <w:basedOn w:val="Parasts"/>
    <w:link w:val="GalveneRakstz"/>
    <w:uiPriority w:val="99"/>
    <w:unhideWhenUsed/>
    <w:rsid w:val="00464AA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64AA1"/>
  </w:style>
  <w:style w:type="paragraph" w:styleId="Kjene">
    <w:name w:val="footer"/>
    <w:basedOn w:val="Parasts"/>
    <w:link w:val="KjeneRakstz"/>
    <w:uiPriority w:val="99"/>
    <w:unhideWhenUsed/>
    <w:rsid w:val="00464AA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4631</Words>
  <Characters>2641</Characters>
  <Application>Microsoft Office Word</Application>
  <DocSecurity>0</DocSecurity>
  <Lines>22</Lines>
  <Paragraphs>14</Paragraphs>
  <ScaleCrop>false</ScaleCrop>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Reinika</dc:creator>
  <cp:lastModifiedBy>Vineta Dārzniece</cp:lastModifiedBy>
  <cp:revision>8</cp:revision>
  <dcterms:created xsi:type="dcterms:W3CDTF">2024-03-07T12:57:00Z</dcterms:created>
  <dcterms:modified xsi:type="dcterms:W3CDTF">2025-10-21T12:02:00Z</dcterms:modified>
</cp:coreProperties>
</file>