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7752F6" w:rsidRPr="00965DE1" w:rsidP="00F10E25" w14:paraId="017CF818" w14:textId="77777777">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rsidR="00965DE1" w:rsidRPr="00965DE1" w:rsidP="00965DE1" w14:paraId="687001B8" w14:textId="77777777">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rsidR="00D865F3" w:rsidRPr="005776C6" w:rsidP="005776C6" w14:paraId="11EFBF71" w14:textId="30AD409D">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 xml:space="preserve">Rīgas domes </w:t>
      </w:r>
      <w:r w:rsidRPr="00965DE1">
        <w:rPr>
          <w:rFonts w:ascii="Times New Roman" w:hAnsi="Times New Roman" w:cs="Times New Roman"/>
          <w:b/>
          <w:bCs/>
          <w:noProof/>
          <w:sz w:val="26"/>
          <w:szCs w:val="26"/>
        </w:rPr>
        <w:t>#SEDES_NORISES_DATUMS_V_L#</w:t>
      </w:r>
      <w:r w:rsidRPr="00965DE1">
        <w:rPr>
          <w:rFonts w:ascii="Times New Roman" w:hAnsi="Times New Roman" w:cs="Times New Roman"/>
          <w:b/>
          <w:bCs/>
          <w:noProof/>
          <w:sz w:val="26"/>
          <w:szCs w:val="26"/>
        </w:rPr>
        <w:t xml:space="preserve"> saistošajiem noteikumiem Nr. </w:t>
      </w:r>
      <w:r w:rsidRPr="00965DE1">
        <w:rPr>
          <w:rFonts w:ascii="Times New Roman" w:hAnsi="Times New Roman" w:cs="Times New Roman"/>
          <w:b/>
          <w:bCs/>
          <w:noProof/>
          <w:sz w:val="26"/>
          <w:szCs w:val="26"/>
        </w:rPr>
        <w:t>#LEMUMA_NUMURS#</w:t>
      </w:r>
    </w:p>
    <w:p w:rsidR="005776C6" w:rsidRPr="003063C8" w:rsidP="005776C6" w14:paraId="358E8382" w14:textId="77777777">
      <w:pPr>
        <w:jc w:val="center"/>
        <w:rPr>
          <w:rFonts w:ascii="Times New Roman" w:hAnsi="Times New Roman" w:cs="Times New Roman"/>
          <w:b/>
          <w:bCs/>
          <w:noProof/>
          <w:sz w:val="26"/>
          <w:szCs w:val="26"/>
        </w:rPr>
      </w:pPr>
      <w:r>
        <w:rPr>
          <w:rFonts w:ascii="Times New Roman" w:hAnsi="Times New Roman" w:cs="Times New Roman"/>
          <w:b/>
          <w:bCs/>
          <w:noProof/>
          <w:sz w:val="26"/>
          <w:szCs w:val="26"/>
        </w:rPr>
        <w:t>“</w:t>
      </w:r>
      <w:r w:rsidRPr="002D7935">
        <w:rPr>
          <w:rFonts w:ascii="Times New Roman" w:eastAsia="Times New Roman" w:hAnsi="Times New Roman" w:cs="Times New Roman"/>
          <w:b/>
          <w:bCs/>
          <w:sz w:val="26"/>
          <w:szCs w:val="26"/>
          <w:lang w:eastAsia="lv-LV"/>
        </w:rPr>
        <w:t xml:space="preserve">Par sadzīves atkritumu apsaimniekošanu Rīgas </w:t>
      </w:r>
      <w:r w:rsidRPr="002D7935">
        <w:rPr>
          <w:rFonts w:ascii="Times New Roman" w:eastAsia="Times New Roman" w:hAnsi="Times New Roman" w:cs="Times New Roman"/>
          <w:b/>
          <w:bCs/>
          <w:sz w:val="26"/>
          <w:szCs w:val="26"/>
          <w:lang w:eastAsia="lv-LV"/>
        </w:rPr>
        <w:t>valstspilsētas</w:t>
      </w:r>
      <w:r w:rsidRPr="002D7935">
        <w:rPr>
          <w:rFonts w:ascii="Times New Roman" w:eastAsia="Times New Roman" w:hAnsi="Times New Roman" w:cs="Times New Roman"/>
          <w:b/>
          <w:bCs/>
          <w:sz w:val="26"/>
          <w:szCs w:val="26"/>
          <w:lang w:eastAsia="lv-LV"/>
        </w:rPr>
        <w:t xml:space="preserve"> pašvaldības administratīvajā teritorijā</w:t>
      </w:r>
      <w:r>
        <w:rPr>
          <w:rFonts w:ascii="Times New Roman" w:hAnsi="Times New Roman" w:cs="Times New Roman"/>
          <w:b/>
          <w:bCs/>
          <w:noProof/>
          <w:sz w:val="26"/>
          <w:szCs w:val="26"/>
        </w:rPr>
        <w:t>”</w:t>
      </w:r>
    </w:p>
    <w:tbl>
      <w:tblPr>
        <w:tblStyle w:val="TableGrid"/>
        <w:tblW w:w="0" w:type="auto"/>
        <w:tblLook w:val="04A0"/>
      </w:tblPr>
      <w:tblGrid>
        <w:gridCol w:w="9247"/>
      </w:tblGrid>
      <w:tr w14:paraId="391329EF" w14:textId="77777777" w:rsidTr="00267931">
        <w:tblPrEx>
          <w:tblW w:w="0" w:type="auto"/>
          <w:tblLook w:val="04A0"/>
        </w:tblPrEx>
        <w:trPr>
          <w:trHeight w:val="654"/>
        </w:trPr>
        <w:tc>
          <w:tcPr>
            <w:tcW w:w="9247" w:type="dxa"/>
            <w:shd w:val="clear" w:color="auto" w:fill="auto"/>
          </w:tcPr>
          <w:p w:rsidR="005776C6" w:rsidRPr="00E4791C" w:rsidP="00267931" w14:paraId="3757E53F" w14:textId="77777777">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rsidR="005776C6" w:rsidP="00267931" w14:paraId="4202859E" w14:textId="7185A2A4">
            <w:pPr>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Saskaņā ar Pašvaldību likuma 4. panta pirmās daļas 1. punktu, viena no pašvaldības autonomajām funkcijām ir organizēt sadzīves atkritumu apsaimniekošanas pakalpojumus un saskaņā ar Atkritumu apsaimniekošanas likuma 8. panta pirmās daļas 3.</w:t>
            </w:r>
            <w:r w:rsidR="001D0264">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punktu pašvaldība izdod saistošos noteikumu par sadzīves atkritumu apsaimniekošanu savā administratīvajā teritorijā. </w:t>
            </w:r>
            <w:r w:rsidRPr="009841A1">
              <w:rPr>
                <w:rFonts w:ascii="Times New Roman" w:eastAsia="Times New Roman" w:hAnsi="Times New Roman" w:cs="Times New Roman"/>
                <w:sz w:val="26"/>
                <w:szCs w:val="26"/>
                <w:lang w:eastAsia="lv-LV"/>
              </w:rPr>
              <w:t xml:space="preserve">Saistošie noteikumi </w:t>
            </w:r>
            <w:r>
              <w:rPr>
                <w:rFonts w:ascii="Times New Roman" w:eastAsia="Times New Roman" w:hAnsi="Times New Roman" w:cs="Times New Roman"/>
                <w:sz w:val="26"/>
                <w:szCs w:val="26"/>
                <w:lang w:eastAsia="lv-LV"/>
              </w:rPr>
              <w:t>“</w:t>
            </w:r>
            <w:r w:rsidRPr="002D7935">
              <w:rPr>
                <w:rFonts w:ascii="Times New Roman" w:eastAsia="Times New Roman" w:hAnsi="Times New Roman" w:cs="Times New Roman"/>
                <w:sz w:val="26"/>
                <w:szCs w:val="26"/>
                <w:lang w:eastAsia="lv-LV"/>
              </w:rPr>
              <w:t xml:space="preserve">Par sadzīves atkritumu apsaimniekošanu Rīgas </w:t>
            </w:r>
            <w:r w:rsidRPr="002D7935">
              <w:rPr>
                <w:rFonts w:ascii="Times New Roman" w:eastAsia="Times New Roman" w:hAnsi="Times New Roman" w:cs="Times New Roman"/>
                <w:sz w:val="26"/>
                <w:szCs w:val="26"/>
                <w:lang w:eastAsia="lv-LV"/>
              </w:rPr>
              <w:t>valstspilsētas</w:t>
            </w:r>
            <w:r w:rsidRPr="002D7935">
              <w:rPr>
                <w:rFonts w:ascii="Times New Roman" w:eastAsia="Times New Roman" w:hAnsi="Times New Roman" w:cs="Times New Roman"/>
                <w:sz w:val="26"/>
                <w:szCs w:val="26"/>
                <w:lang w:eastAsia="lv-LV"/>
              </w:rPr>
              <w:t xml:space="preserve"> pašvaldības administratīvajā teritorijā</w:t>
            </w:r>
            <w:r w:rsidRPr="009841A1">
              <w:rPr>
                <w:rFonts w:ascii="Times New Roman" w:eastAsia="Times New Roman" w:hAnsi="Times New Roman" w:cs="Times New Roman"/>
                <w:sz w:val="26"/>
                <w:szCs w:val="26"/>
                <w:lang w:eastAsia="lv-LV"/>
              </w:rPr>
              <w:t xml:space="preserve">” (turpmāk – saistošie noteikumi) </w:t>
            </w:r>
            <w:r>
              <w:rPr>
                <w:rFonts w:ascii="Times New Roman" w:eastAsia="Times New Roman" w:hAnsi="Times New Roman" w:cs="Times New Roman"/>
                <w:sz w:val="26"/>
                <w:szCs w:val="26"/>
                <w:lang w:eastAsia="lv-LV"/>
              </w:rPr>
              <w:t xml:space="preserve">nosaka </w:t>
            </w:r>
            <w:r w:rsidRPr="009841A1">
              <w:rPr>
                <w:rFonts w:ascii="Times New Roman" w:eastAsia="Times New Roman" w:hAnsi="Times New Roman" w:cs="Times New Roman"/>
                <w:sz w:val="26"/>
                <w:szCs w:val="26"/>
                <w:lang w:eastAsia="lv-LV"/>
              </w:rPr>
              <w:t>sadzīves atkritumu (turpmāk – atkritumi), sadzīvē radušos bīstamo un mājsaimniecībās radīto būvniecības atkritumu apsaimniekošanu pašvaldības teritorijā, lai aizsargātu vidi, cilvēku dzīvību un veselību, nodrošinātu atkritumu dalītu savākšanu un reģenerāciju, kā arī veicinātu atkritumu rašanās samazināšanu, dabas resursu efektīvu izmantošanu, atkārtoti lietojamu materiālu atgriešanu apritē un apglabājamo atkritumu apjoma samazināšanu; pašvaldības teritorijas dalījumu atkritumu apsaimniekošanas zonās; prasības atkritumu savākšanai, tajā skaitā minimālajam atkritumu savākšanas biežumam, pārvadāšanai, pārkraušanai, šķirošanai un uzglabāšanai;</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kārtību, kādā veicami maksājumi par atkritumu apsaimniekošanu.</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 xml:space="preserve">Saistošie noteikumi strukturēti </w:t>
            </w:r>
            <w:r>
              <w:rPr>
                <w:rFonts w:ascii="Times New Roman" w:eastAsia="Times New Roman" w:hAnsi="Times New Roman" w:cs="Times New Roman"/>
                <w:sz w:val="26"/>
                <w:szCs w:val="26"/>
                <w:lang w:eastAsia="lv-LV"/>
              </w:rPr>
              <w:t>desmit</w:t>
            </w:r>
            <w:r w:rsidRPr="009841A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nodaļās ar pārejas noteikumiem</w:t>
            </w:r>
            <w:r w:rsidRPr="009841A1">
              <w:rPr>
                <w:rFonts w:ascii="Times New Roman" w:eastAsia="Times New Roman" w:hAnsi="Times New Roman" w:cs="Times New Roman"/>
                <w:sz w:val="26"/>
                <w:szCs w:val="26"/>
                <w:lang w:eastAsia="lv-LV"/>
              </w:rPr>
              <w:t>: I. Vispārīgie jautājumi,</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II. PARIS funkcijas, III. Atkritumu radītāju un valdītāju tiesības un pienākumi, IV. Nekustamā īpašuma īpašnieka, valdītāja, lietotāja, </w:t>
            </w:r>
            <w:r w:rsidRPr="009841A1">
              <w:rPr>
                <w:rFonts w:ascii="Times New Roman" w:eastAsia="Times New Roman" w:hAnsi="Times New Roman" w:cs="Times New Roman"/>
                <w:sz w:val="26"/>
                <w:szCs w:val="26"/>
                <w:lang w:eastAsia="lv-LV"/>
              </w:rPr>
              <w:t>apsaimniekotāja</w:t>
            </w:r>
            <w:r w:rsidRPr="009841A1">
              <w:rPr>
                <w:rFonts w:ascii="Times New Roman" w:eastAsia="Times New Roman" w:hAnsi="Times New Roman" w:cs="Times New Roman"/>
                <w:sz w:val="26"/>
                <w:szCs w:val="26"/>
                <w:lang w:eastAsia="lv-LV"/>
              </w:rPr>
              <w:t xml:space="preserve"> vai pilnvarotās personas pienākumi, V.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Publisko pasākumu organizētāju un publisko teritoriju </w:t>
            </w:r>
            <w:r w:rsidRPr="009841A1">
              <w:rPr>
                <w:rFonts w:ascii="Times New Roman" w:eastAsia="Times New Roman" w:hAnsi="Times New Roman" w:cs="Times New Roman"/>
                <w:sz w:val="26"/>
                <w:szCs w:val="26"/>
                <w:lang w:eastAsia="lv-LV"/>
              </w:rPr>
              <w:t>apsaimniekotāju</w:t>
            </w:r>
            <w:r w:rsidRPr="009841A1">
              <w:rPr>
                <w:rFonts w:ascii="Times New Roman" w:eastAsia="Times New Roman" w:hAnsi="Times New Roman" w:cs="Times New Roman"/>
                <w:sz w:val="26"/>
                <w:szCs w:val="26"/>
                <w:lang w:eastAsia="lv-LV"/>
              </w:rPr>
              <w:t xml:space="preserve"> tiesības un pienākumi, VI.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Atkritumu </w:t>
            </w:r>
            <w:r w:rsidRPr="009841A1">
              <w:rPr>
                <w:rFonts w:ascii="Times New Roman" w:eastAsia="Times New Roman" w:hAnsi="Times New Roman" w:cs="Times New Roman"/>
                <w:sz w:val="26"/>
                <w:szCs w:val="26"/>
                <w:lang w:eastAsia="lv-LV"/>
              </w:rPr>
              <w:t>apsaimniekotāja</w:t>
            </w:r>
            <w:r w:rsidRPr="009841A1">
              <w:rPr>
                <w:rFonts w:ascii="Times New Roman" w:eastAsia="Times New Roman" w:hAnsi="Times New Roman" w:cs="Times New Roman"/>
                <w:sz w:val="26"/>
                <w:szCs w:val="26"/>
                <w:lang w:eastAsia="lv-LV"/>
              </w:rPr>
              <w:t xml:space="preserve"> pienākumi un tiesības, VII.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Aizliegumi atkritumu apsaimniekošanā pašvaldības teritorijā,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VIII. Prasības atkritumu dalītai vākšanai un šķirošanai,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IX. Prasības sadzīvē radušos bīstamo atkritumu un videi kaitīgo preču apsaimniekošanai,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X. Noslēguma jautājum</w:t>
            </w:r>
            <w:r>
              <w:rPr>
                <w:rFonts w:ascii="Times New Roman" w:eastAsia="Times New Roman" w:hAnsi="Times New Roman" w:cs="Times New Roman"/>
                <w:sz w:val="26"/>
                <w:szCs w:val="26"/>
                <w:lang w:eastAsia="lv-LV"/>
              </w:rPr>
              <w:t>s,</w:t>
            </w:r>
            <w:r w:rsidRPr="009841A1">
              <w:rPr>
                <w:rFonts w:ascii="Times New Roman" w:eastAsia="Times New Roman" w:hAnsi="Times New Roman" w:cs="Times New Roman"/>
                <w:sz w:val="26"/>
                <w:szCs w:val="26"/>
                <w:lang w:eastAsia="lv-LV"/>
              </w:rPr>
              <w:t xml:space="preserve"> Pārejas noteikumi</w:t>
            </w:r>
            <w:r>
              <w:rPr>
                <w:rFonts w:ascii="Times New Roman" w:eastAsia="Times New Roman" w:hAnsi="Times New Roman" w:cs="Times New Roman"/>
                <w:sz w:val="26"/>
                <w:szCs w:val="26"/>
                <w:lang w:eastAsia="lv-LV"/>
              </w:rPr>
              <w:t>.</w:t>
            </w:r>
          </w:p>
          <w:p w:rsidR="005776C6" w:rsidRPr="009841A1" w:rsidP="00267931" w14:paraId="75CCCF2B"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Līdz šim ir bijuši spēkā Rīgas domes 2019. gada 29. novembra saistošie noteikumi Nr. 87 “Par sadzīves atkritumu apsaimniekošanu Rīgas pilsētā”. Saistošajiem noteikumiem par pamatu ņemts spēkā esošais regulējums un tas papildināts, ņemot vērā nepieciešamību noteikt stingrāku regulējumu sadzīves atkritumu šķirošanai un samazināt apglabājamo atkritumu daudzumu</w:t>
            </w:r>
            <w:r>
              <w:rPr>
                <w:rFonts w:ascii="Times New Roman" w:eastAsia="Times New Roman" w:hAnsi="Times New Roman" w:cs="Times New Roman"/>
                <w:sz w:val="26"/>
                <w:szCs w:val="26"/>
                <w:lang w:eastAsia="lv-LV"/>
              </w:rPr>
              <w:t xml:space="preserve"> atbilstoši</w:t>
            </w:r>
            <w:r w:rsidRPr="009841A1">
              <w:rPr>
                <w:rFonts w:ascii="Times New Roman" w:eastAsia="Times New Roman" w:hAnsi="Times New Roman" w:cs="Times New Roman"/>
                <w:sz w:val="26"/>
                <w:szCs w:val="26"/>
                <w:lang w:eastAsia="lv-LV"/>
              </w:rPr>
              <w:t xml:space="preserve"> </w:t>
            </w:r>
            <w:r w:rsidRPr="002D7935">
              <w:rPr>
                <w:rFonts w:ascii="Times New Roman" w:eastAsia="Times New Roman" w:hAnsi="Times New Roman" w:cs="Times New Roman"/>
                <w:sz w:val="26"/>
                <w:szCs w:val="26"/>
                <w:lang w:eastAsia="lv-LV"/>
              </w:rPr>
              <w:t>Padomes</w:t>
            </w:r>
            <w:r w:rsidRPr="009841A1">
              <w:rPr>
                <w:rFonts w:ascii="Times New Roman" w:eastAsia="Times New Roman" w:hAnsi="Times New Roman" w:cs="Times New Roman"/>
                <w:sz w:val="26"/>
                <w:szCs w:val="26"/>
                <w:lang w:eastAsia="lv-LV"/>
              </w:rPr>
              <w:t xml:space="preserve"> 1999. gada 26.</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aprīļa Direktīvas 1999/31/EK par atkritumu poligoniem 5.</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panta 5.</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 xml:space="preserve">punktā noteiktajam, ka dalībvalstis veic vajadzīgos pasākumus, lai nodrošinātu, ka līdz 2035. gadam poligonos apglabāto sadzīves atkritumu īpatsvars ir samazinājies līdz 10 % no kopējā radīto sadzīves atkritumu daudzuma (pēc svara) vai ir vēl mazāks. </w:t>
            </w:r>
          </w:p>
          <w:p w:rsidR="005776C6" w:rsidRPr="009841A1" w:rsidP="00267931" w14:paraId="4D349D7B"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 xml:space="preserve">Ministru kabineta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2021. gada 26. oktobra noteikumu Nr. 712 “Atkritumu dalītas savākšanas, sagatavošanas atkārtotai izmantošanai, pārstrādes un materiālu reģenerācijas noteikumi” 5. punktā noteikti šādi </w:t>
            </w:r>
            <w:r w:rsidRPr="00A75EA8">
              <w:rPr>
                <w:rFonts w:ascii="Times New Roman" w:eastAsia="Times New Roman" w:hAnsi="Times New Roman" w:cs="Times New Roman"/>
                <w:sz w:val="26"/>
                <w:szCs w:val="26"/>
                <w:lang w:eastAsia="lv-LV"/>
              </w:rPr>
              <w:t>mērķrādītāji</w:t>
            </w:r>
            <w:r w:rsidRPr="00A75EA8">
              <w:rPr>
                <w:rFonts w:ascii="Times New Roman" w:eastAsia="Times New Roman" w:hAnsi="Times New Roman" w:cs="Times New Roman"/>
                <w:sz w:val="26"/>
                <w:szCs w:val="26"/>
                <w:lang w:eastAsia="lv-LV"/>
              </w:rPr>
              <w:t xml:space="preserve">  atkritumu</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sagatavošanai atkārtotai izmantošanai, pārstrādei un materiālu reģenerācijai:</w:t>
            </w:r>
          </w:p>
          <w:p w:rsidR="005776C6" w:rsidRPr="009841A1" w:rsidP="00267931" w14:paraId="768A5112"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 xml:space="preserve">5. Pašvaldība, atkritumu </w:t>
            </w:r>
            <w:r w:rsidRPr="009841A1">
              <w:rPr>
                <w:rFonts w:ascii="Times New Roman" w:eastAsia="Times New Roman" w:hAnsi="Times New Roman" w:cs="Times New Roman"/>
                <w:sz w:val="26"/>
                <w:szCs w:val="26"/>
                <w:lang w:eastAsia="lv-LV"/>
              </w:rPr>
              <w:t>apsaimniekotājs</w:t>
            </w:r>
            <w:r w:rsidRPr="009841A1">
              <w:rPr>
                <w:rFonts w:ascii="Times New Roman" w:eastAsia="Times New Roman" w:hAnsi="Times New Roman" w:cs="Times New Roman"/>
                <w:sz w:val="26"/>
                <w:szCs w:val="26"/>
                <w:lang w:eastAsia="lv-LV"/>
              </w:rPr>
              <w:t xml:space="preserve">, kas izraudzīts saskaņā ar normatīvajiem aktiem par atkritumu apsaimniekošanu, un atkritumu </w:t>
            </w:r>
            <w:r w:rsidRPr="009841A1">
              <w:rPr>
                <w:rFonts w:ascii="Times New Roman" w:eastAsia="Times New Roman" w:hAnsi="Times New Roman" w:cs="Times New Roman"/>
                <w:sz w:val="26"/>
                <w:szCs w:val="26"/>
                <w:lang w:eastAsia="lv-LV"/>
              </w:rPr>
              <w:t>apsaimniekotājs</w:t>
            </w:r>
            <w:r w:rsidRPr="009841A1">
              <w:rPr>
                <w:rFonts w:ascii="Times New Roman" w:eastAsia="Times New Roman" w:hAnsi="Times New Roman" w:cs="Times New Roman"/>
                <w:sz w:val="26"/>
                <w:szCs w:val="26"/>
                <w:lang w:eastAsia="lv-LV"/>
              </w:rPr>
              <w:t>, kurš sagatavo atkritumus atkārtotai izmantošanai, pārstrādā vai veic materiālu reģenerāciju, nodrošina sadzīves atkritumu (tai skaitā vismaz papīra, metāla, plastmasas, stikla, tekstilmateriālu, sadzīvē</w:t>
            </w:r>
            <w:r>
              <w:rPr>
                <w:rFonts w:ascii="Times New Roman" w:eastAsia="Times New Roman" w:hAnsi="Times New Roman" w:cs="Times New Roman"/>
                <w:sz w:val="26"/>
                <w:szCs w:val="26"/>
                <w:lang w:eastAsia="lv-LV"/>
              </w:rPr>
              <w:t xml:space="preserve"> </w:t>
            </w:r>
            <w:r w:rsidRPr="009841A1">
              <w:rPr>
                <w:rFonts w:ascii="Times New Roman" w:eastAsia="Times New Roman" w:hAnsi="Times New Roman" w:cs="Times New Roman"/>
                <w:sz w:val="26"/>
                <w:szCs w:val="26"/>
                <w:lang w:eastAsia="lv-LV"/>
              </w:rPr>
              <w:t>radušos bīstamo atkritumu un bioloģisko atkritumu) sagatavošanu atkārtotai izmantošanai, pārstrādi un materiālu reģenerāciju (izņemot enerģijas reģenerāciju un atkritumu pārstrādi materiālos, kurus paredzēts izmantot kā degvielu) šādos termiņos, lai sasniegtu noteiktos mērķus:</w:t>
            </w:r>
          </w:p>
          <w:p w:rsidR="005776C6" w:rsidRPr="009841A1" w:rsidP="00267931" w14:paraId="33551421"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5.1. līdz 2024. gada 31. decembrim – ne mazāk kā 55 % apmērā (pēc svara) no kalendāra gadā radītā sadzīves atkritumu daudzuma;</w:t>
            </w:r>
          </w:p>
          <w:p w:rsidR="005776C6" w:rsidRPr="009841A1" w:rsidP="00267931" w14:paraId="61F201BD"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5.2. līdz 2029. gada 31. decembrim – ne mazāk kā 60 % apmērā (pēc svara) no kalendāra gadā radītā sadzīves atkritumu daudzuma;</w:t>
            </w:r>
          </w:p>
          <w:p w:rsidR="005776C6" w:rsidRPr="009841A1" w:rsidP="00267931" w14:paraId="1C39A201"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5.3. līdz 2034. gada 31. decembrim – ne mazāk kā 65 % apmērā (pēc svara) no kalendāra gadā radītā sadzīves atkritumu daudzuma.</w:t>
            </w:r>
          </w:p>
          <w:p w:rsidR="005776C6" w:rsidRPr="009841A1" w:rsidP="00267931" w14:paraId="6A08BAE1"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2024. gadā pēc pašvaldībai pieejamiem datiem pašvaldības teritorijā tika savāktas 307 952.39 tonnas sadzīves atkritumu, no kurām dalīti tika savākti 43%.</w:t>
            </w:r>
          </w:p>
          <w:p w:rsidR="005776C6" w:rsidRPr="009841A1" w:rsidP="00267931" w14:paraId="6BF6449E" w14:textId="77777777">
            <w:pPr>
              <w:jc w:val="both"/>
              <w:rPr>
                <w:rFonts w:ascii="Times New Roman" w:eastAsia="Times New Roman" w:hAnsi="Times New Roman" w:cs="Times New Roman"/>
                <w:sz w:val="26"/>
                <w:szCs w:val="26"/>
                <w:lang w:eastAsia="lv-LV"/>
              </w:rPr>
            </w:pPr>
            <w:r w:rsidRPr="009841A1">
              <w:rPr>
                <w:rFonts w:ascii="Times New Roman" w:eastAsia="Times New Roman" w:hAnsi="Times New Roman" w:cs="Times New Roman"/>
                <w:sz w:val="26"/>
                <w:szCs w:val="26"/>
                <w:lang w:eastAsia="lv-LV"/>
              </w:rPr>
              <w:t xml:space="preserve">2025. gada janvārī Klimata un enerģētikas ministrija informēja, ka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Latvijas poligonos tiek apglabāti 44% no radītā sadzīves atkritumu daudzuma </w:t>
            </w:r>
            <w:r w:rsidRPr="009841A1">
              <w:rPr>
                <w:rFonts w:ascii="Times New Roman" w:eastAsia="Times New Roman" w:hAnsi="Times New Roman" w:cs="Times New Roman"/>
                <w:sz w:val="24"/>
                <w:szCs w:val="24"/>
                <w:lang w:eastAsia="lv-LV"/>
              </w:rPr>
              <w:t xml:space="preserve"> </w:t>
            </w:r>
            <w:hyperlink r:id="rId4" w:history="1">
              <w:r w:rsidRPr="009841A1">
                <w:rPr>
                  <w:rFonts w:ascii="Times New Roman" w:eastAsia="Times New Roman" w:hAnsi="Times New Roman" w:cs="Times New Roman"/>
                  <w:color w:val="0000FF"/>
                  <w:sz w:val="26"/>
                  <w:szCs w:val="26"/>
                  <w:u w:val="single"/>
                  <w:lang w:eastAsia="lv-LV"/>
                </w:rPr>
                <w:t>https://www.kem.gov.lv/lv/jaunums/tiks-istenota-stingraka-un-caurredzamaka-uzraudziba-atkritumu-regeneracijas-projektu-istenosana</w:t>
              </w:r>
            </w:hyperlink>
            <w:r>
              <w:rPr>
                <w:rFonts w:ascii="Times New Roman" w:eastAsia="Times New Roman" w:hAnsi="Times New Roman" w:cs="Times New Roman"/>
                <w:sz w:val="24"/>
                <w:szCs w:val="24"/>
                <w:lang w:eastAsia="lv-LV"/>
              </w:rPr>
              <w:t>.</w:t>
            </w:r>
          </w:p>
          <w:p w:rsidR="005776C6" w:rsidRPr="009841A1" w:rsidP="00267931" w14:paraId="61B35D67" w14:textId="77777777">
            <w:pPr>
              <w:jc w:val="both"/>
              <w:rPr>
                <w:rFonts w:ascii="Times New Roman" w:eastAsia="Times New Roman" w:hAnsi="Times New Roman" w:cs="Times New Roman"/>
                <w:sz w:val="24"/>
                <w:szCs w:val="24"/>
                <w:lang w:eastAsia="lv-LV"/>
              </w:rPr>
            </w:pPr>
            <w:r w:rsidRPr="009841A1">
              <w:rPr>
                <w:rFonts w:ascii="Times New Roman" w:eastAsia="Times New Roman" w:hAnsi="Times New Roman" w:cs="Times New Roman"/>
                <w:sz w:val="26"/>
                <w:szCs w:val="26"/>
                <w:lang w:eastAsia="lv-LV"/>
              </w:rPr>
              <w:t xml:space="preserve">Ņemot vērā nepieciešamo izmaiņu apjomu, saskaņā ar </w:t>
            </w:r>
            <w:r w:rsidRPr="009841A1">
              <w:rPr>
                <w:rFonts w:ascii="Times New Roman" w:eastAsia="Times New Roman" w:hAnsi="Times New Roman" w:cs="Times New Roman"/>
                <w:sz w:val="24"/>
                <w:szCs w:val="24"/>
                <w:lang w:eastAsia="lv-LV"/>
              </w:rPr>
              <w:t xml:space="preserve"> </w:t>
            </w:r>
            <w:r w:rsidRPr="009841A1">
              <w:rPr>
                <w:rFonts w:ascii="Times New Roman" w:eastAsia="Times New Roman" w:hAnsi="Times New Roman" w:cs="Times New Roman"/>
                <w:sz w:val="26"/>
                <w:szCs w:val="26"/>
                <w:lang w:eastAsia="lv-LV"/>
              </w:rPr>
              <w:t xml:space="preserve">Ministru kabineta 2009. gada 3. februāra noteikumu Nr. 108 “Normatīvo aktu projektu sagatavošanas noteikumi” 140. punktā noteikto, ka grozījumu noteikumu projektu nesagatavo, ja tā normu apjoms pārsniegtu pusi no spēkā esošo noteikumu normu apjoma, </w:t>
            </w:r>
            <w:r>
              <w:rPr>
                <w:rFonts w:ascii="Times New Roman" w:eastAsia="Times New Roman" w:hAnsi="Times New Roman" w:cs="Times New Roman"/>
                <w:sz w:val="26"/>
                <w:szCs w:val="26"/>
                <w:lang w:eastAsia="lv-LV"/>
              </w:rPr>
              <w:t>ir</w:t>
            </w:r>
            <w:r w:rsidRPr="009841A1">
              <w:rPr>
                <w:rFonts w:ascii="Times New Roman" w:eastAsia="Times New Roman" w:hAnsi="Times New Roman" w:cs="Times New Roman"/>
                <w:sz w:val="26"/>
                <w:szCs w:val="26"/>
                <w:lang w:eastAsia="lv-LV"/>
              </w:rPr>
              <w:t xml:space="preserve"> sagatavo</w:t>
            </w:r>
            <w:r>
              <w:rPr>
                <w:rFonts w:ascii="Times New Roman" w:eastAsia="Times New Roman" w:hAnsi="Times New Roman" w:cs="Times New Roman"/>
                <w:sz w:val="26"/>
                <w:szCs w:val="26"/>
                <w:lang w:eastAsia="lv-LV"/>
              </w:rPr>
              <w:t>ti</w:t>
            </w:r>
            <w:r w:rsidRPr="009841A1">
              <w:rPr>
                <w:rFonts w:ascii="Times New Roman" w:eastAsia="Times New Roman" w:hAnsi="Times New Roman" w:cs="Times New Roman"/>
                <w:sz w:val="26"/>
                <w:szCs w:val="26"/>
                <w:lang w:eastAsia="lv-LV"/>
              </w:rPr>
              <w:t xml:space="preserve"> saistošie noteikumi</w:t>
            </w:r>
            <w:r w:rsidRPr="009841A1">
              <w:rPr>
                <w:rFonts w:ascii="Times New Roman" w:eastAsia="Times New Roman" w:hAnsi="Times New Roman" w:cs="Times New Roman"/>
                <w:sz w:val="24"/>
                <w:szCs w:val="24"/>
                <w:lang w:eastAsia="lv-LV"/>
              </w:rPr>
              <w:t xml:space="preserve">. </w:t>
            </w:r>
          </w:p>
        </w:tc>
      </w:tr>
      <w:tr w14:paraId="106926F7" w14:textId="77777777" w:rsidTr="00267931">
        <w:tblPrEx>
          <w:tblW w:w="0" w:type="auto"/>
          <w:tblLook w:val="04A0"/>
        </w:tblPrEx>
        <w:tc>
          <w:tcPr>
            <w:tcW w:w="9247" w:type="dxa"/>
          </w:tcPr>
          <w:p w:rsidR="005776C6" w:rsidRPr="00E4791C" w:rsidP="00267931" w14:paraId="2F3C96C8" w14:textId="77777777">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2. Fiskālā ietekme uz pašvaldības budžetu, iekļaujot attiecīgus aprēķinus (šo informāciju neiekļauj saistošajiem noteikumiem par pašvaldības nodevām)</w:t>
            </w:r>
          </w:p>
          <w:p w:rsidR="005776C6" w:rsidRPr="00E4791C" w:rsidP="00267931" w14:paraId="42715225" w14:textId="77777777">
            <w:pPr>
              <w:shd w:val="clear" w:color="auto" w:fill="FFFFFF"/>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Nav fiskālās ietekmes – saistošo noteikumu īstenošana neietekmēs pašvaldībai pieejamos resursus, jo neprasa jaunu institūciju vai darba vietu izveidi, vai esošo institūciju kompetences paplašināšanu, lai nodrošinātu saistošo noteikumu izpildi.</w:t>
            </w:r>
          </w:p>
        </w:tc>
      </w:tr>
      <w:tr w14:paraId="17D69D26" w14:textId="77777777" w:rsidTr="00267931">
        <w:tblPrEx>
          <w:tblW w:w="0" w:type="auto"/>
          <w:tblLook w:val="04A0"/>
        </w:tblPrEx>
        <w:tc>
          <w:tcPr>
            <w:tcW w:w="9247" w:type="dxa"/>
          </w:tcPr>
          <w:p w:rsidR="005776C6" w:rsidRPr="00E4791C" w:rsidP="00267931" w14:paraId="2D089D2F" w14:textId="77777777">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rsidR="005776C6" w:rsidP="00267931" w14:paraId="3E82EA8B" w14:textId="77777777">
            <w:pPr>
              <w:shd w:val="clear" w:color="auto" w:fill="FFFFFF"/>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 xml:space="preserve">Saistošie noteikumi attiecas uz sabiedrībai svarīgas jomas – kārtību, kādā pašvaldības teritorijā tiek organizēta atkritumu apsaimniekošana. </w:t>
            </w:r>
          </w:p>
          <w:p w:rsidR="005776C6" w:rsidP="00267931" w14:paraId="3F6CA180" w14:textId="77777777">
            <w:pPr>
              <w:shd w:val="clear" w:color="auto" w:fill="FFFFFF"/>
              <w:ind w:firstLine="743"/>
              <w:jc w:val="both"/>
              <w:rPr>
                <w:rFonts w:ascii="Times New Roman" w:eastAsia="Times New Roman" w:hAnsi="Times New Roman" w:cs="Times New Roman"/>
                <w:noProof/>
                <w:color w:val="000000" w:themeColor="text1"/>
                <w:sz w:val="26"/>
                <w:szCs w:val="26"/>
                <w:lang w:eastAsia="lv-LV"/>
              </w:rPr>
            </w:pPr>
            <w:r w:rsidRPr="00B42E21">
              <w:rPr>
                <w:rFonts w:ascii="Times New Roman" w:eastAsia="Times New Roman" w:hAnsi="Times New Roman" w:cs="Times New Roman"/>
                <w:noProof/>
                <w:color w:val="000000" w:themeColor="text1"/>
                <w:sz w:val="26"/>
                <w:szCs w:val="26"/>
                <w:lang w:eastAsia="lv-LV"/>
              </w:rPr>
              <w:t>Saistošo noteikumu ietekmes vērtējums:</w:t>
            </w:r>
          </w:p>
          <w:p w:rsidR="005776C6" w:rsidP="00267931" w14:paraId="457C7E85" w14:textId="77777777">
            <w:pPr>
              <w:pStyle w:val="ListParagraph"/>
              <w:shd w:val="clear" w:color="auto" w:fill="FFFFFF"/>
              <w:tabs>
                <w:tab w:val="left" w:pos="1026"/>
              </w:tabs>
              <w:ind w:left="0" w:firstLine="743"/>
              <w:jc w:val="both"/>
              <w:rPr>
                <w:rFonts w:ascii="Times New Roman" w:eastAsia="Times New Roman" w:hAnsi="Times New Roman" w:cs="Times New Roman"/>
                <w:noProof/>
                <w:color w:val="000000" w:themeColor="text1"/>
                <w:sz w:val="26"/>
                <w:szCs w:val="26"/>
                <w:lang w:eastAsia="lv-LV"/>
              </w:rPr>
            </w:pPr>
            <w:r w:rsidRPr="00B42E21">
              <w:rPr>
                <w:rFonts w:ascii="Times New Roman" w:eastAsia="Times New Roman" w:hAnsi="Times New Roman" w:cs="Times New Roman"/>
                <w:noProof/>
                <w:color w:val="000000" w:themeColor="text1"/>
                <w:sz w:val="26"/>
                <w:szCs w:val="26"/>
                <w:lang w:eastAsia="lv-LV"/>
              </w:rPr>
              <w:t>1) sociālā ietekme</w:t>
            </w:r>
            <w:r>
              <w:rPr>
                <w:rFonts w:ascii="Times New Roman" w:eastAsia="Times New Roman" w:hAnsi="Times New Roman" w:cs="Times New Roman"/>
                <w:noProof/>
                <w:color w:val="000000" w:themeColor="text1"/>
                <w:sz w:val="26"/>
                <w:szCs w:val="26"/>
                <w:lang w:eastAsia="lv-LV"/>
              </w:rPr>
              <w:t xml:space="preserve"> – tiesības dzīvot tīrā un sakoptā vidē ir saistāmas ar cilvēka dzīves kvalitātes nodrošināšanu. </w:t>
            </w:r>
            <w:r w:rsidRPr="00B42E21">
              <w:rPr>
                <w:rFonts w:ascii="Times New Roman" w:eastAsia="Times New Roman" w:hAnsi="Times New Roman" w:cs="Times New Roman"/>
                <w:noProof/>
                <w:sz w:val="26"/>
                <w:szCs w:val="26"/>
                <w:lang w:eastAsia="lv-LV"/>
              </w:rPr>
              <w:t xml:space="preserve">Saistošie noteikumi nodrošinās vienlīdzīgas tiesības un iespējas atkritumu radītājiem un valdītājiem un uzlabos atkritumu apsaimniekošanas pakalpojuma kvalitāti un pieejamību. </w:t>
            </w:r>
          </w:p>
          <w:p w:rsidR="005776C6" w:rsidP="00267931" w14:paraId="540E980C" w14:textId="77777777">
            <w:pPr>
              <w:pStyle w:val="ListParagraph"/>
              <w:shd w:val="clear" w:color="auto" w:fill="FFFFFF"/>
              <w:tabs>
                <w:tab w:val="left" w:pos="1026"/>
              </w:tabs>
              <w:ind w:left="0" w:firstLine="743"/>
              <w:jc w:val="both"/>
              <w:rPr>
                <w:rFonts w:ascii="Times New Roman" w:eastAsia="Times New Roman" w:hAnsi="Times New Roman" w:cs="Times New Roman"/>
                <w:noProof/>
                <w:color w:val="000000" w:themeColor="text1"/>
                <w:sz w:val="26"/>
                <w:szCs w:val="26"/>
                <w:lang w:eastAsia="lv-LV"/>
              </w:rPr>
            </w:pPr>
            <w:r w:rsidRPr="00B42E21">
              <w:rPr>
                <w:rFonts w:ascii="Times New Roman" w:eastAsia="Times New Roman" w:hAnsi="Times New Roman" w:cs="Times New Roman"/>
                <w:noProof/>
                <w:color w:val="000000" w:themeColor="text1"/>
                <w:sz w:val="26"/>
                <w:szCs w:val="26"/>
                <w:lang w:eastAsia="lv-LV"/>
              </w:rPr>
              <w:t>2) ietekme uz vidi</w:t>
            </w:r>
            <w:r>
              <w:rPr>
                <w:rFonts w:ascii="Times New Roman" w:eastAsia="Times New Roman" w:hAnsi="Times New Roman" w:cs="Times New Roman"/>
                <w:noProof/>
                <w:color w:val="000000" w:themeColor="text1"/>
                <w:sz w:val="26"/>
                <w:szCs w:val="26"/>
                <w:lang w:eastAsia="lv-LV"/>
              </w:rPr>
              <w:t xml:space="preserve"> – organizējot un pilnveidojot atkritumu apsaimniekošanu, tiek nodrošināts, ka atkritumi tiek savākti videi labvēlīgā veidā. Lai uzlabotu vides aizsardzības prasību ievērošanu, pašvaldības teritorijā paredzēta visu atkritumu radītāju un valdītāju iesaistīšanās atkritumu dalītā vākšanā, veicinot gan atkritumu pārstrādi, reģenerāciju, gan aprites ekonomikas principus, gan samazinot atkritumu poligonā noglabājamo atkritumu daudzumu;</w:t>
            </w:r>
          </w:p>
          <w:p w:rsidR="005776C6" w:rsidRPr="00A75EA8" w:rsidP="00267931" w14:paraId="4EEBD522" w14:textId="77777777">
            <w:pPr>
              <w:pStyle w:val="ListParagraph"/>
              <w:shd w:val="clear" w:color="auto" w:fill="FFFFFF"/>
              <w:tabs>
                <w:tab w:val="left" w:pos="1026"/>
              </w:tabs>
              <w:ind w:left="0" w:firstLine="743"/>
              <w:jc w:val="both"/>
              <w:rPr>
                <w:rFonts w:ascii="Times New Roman" w:eastAsia="Times New Roman" w:hAnsi="Times New Roman" w:cs="Times New Roman"/>
                <w:noProof/>
                <w:color w:val="FF0000"/>
                <w:sz w:val="26"/>
                <w:szCs w:val="26"/>
                <w:lang w:eastAsia="lv-LV"/>
              </w:rPr>
            </w:pPr>
            <w:r w:rsidRPr="00B42E21">
              <w:rPr>
                <w:rFonts w:ascii="Times New Roman" w:eastAsia="Times New Roman" w:hAnsi="Times New Roman" w:cs="Times New Roman"/>
                <w:noProof/>
                <w:color w:val="000000" w:themeColor="text1"/>
                <w:sz w:val="26"/>
                <w:szCs w:val="26"/>
                <w:lang w:eastAsia="lv-LV"/>
              </w:rPr>
              <w:t>3) ietekme uz iedzīvotāju veselību</w:t>
            </w:r>
            <w:r>
              <w:rPr>
                <w:rFonts w:ascii="Times New Roman" w:eastAsia="Times New Roman" w:hAnsi="Times New Roman" w:cs="Times New Roman"/>
                <w:noProof/>
                <w:color w:val="000000" w:themeColor="text1"/>
                <w:sz w:val="26"/>
                <w:szCs w:val="26"/>
                <w:lang w:eastAsia="lv-LV"/>
              </w:rPr>
              <w:t xml:space="preserve"> – </w:t>
            </w:r>
            <w:r w:rsidRPr="00527C68">
              <w:rPr>
                <w:rFonts w:ascii="Times New Roman" w:eastAsia="Times New Roman" w:hAnsi="Times New Roman" w:cs="Times New Roman"/>
                <w:noProof/>
                <w:sz w:val="26"/>
                <w:szCs w:val="26"/>
                <w:lang w:eastAsia="lv-LV"/>
              </w:rPr>
              <w:t xml:space="preserve">nodrošinot organizētu un regulāru atkritumu apsaimnniekošanu, tiek aizsargāta cilvēku dzīvība un veselība, nepieļaujot ilgstošu atkritumu uzkrāšanu īpašumos un nepasliktinot sanitārās normas. </w:t>
            </w:r>
          </w:p>
          <w:p w:rsidR="005776C6" w:rsidRPr="00E4791C" w:rsidP="00267931" w14:paraId="485C4BD9" w14:textId="77777777">
            <w:pPr>
              <w:shd w:val="clear" w:color="auto" w:fill="FFFFFF"/>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 xml:space="preserve">           </w:t>
            </w:r>
            <w:r w:rsidRPr="00B42E21">
              <w:rPr>
                <w:rFonts w:ascii="Times New Roman" w:eastAsia="Times New Roman" w:hAnsi="Times New Roman" w:cs="Times New Roman"/>
                <w:noProof/>
                <w:color w:val="000000" w:themeColor="text1"/>
                <w:sz w:val="26"/>
                <w:szCs w:val="26"/>
                <w:lang w:eastAsia="lv-LV"/>
              </w:rPr>
              <w:t xml:space="preserve">4) ietekme uz uzņēmējdarbības vidi pašvaldības administratīvajā teritorijā </w:t>
            </w:r>
            <w:r w:rsidRPr="00BA4045">
              <w:rPr>
                <w:rFonts w:ascii="Times New Roman" w:eastAsia="Times New Roman" w:hAnsi="Times New Roman" w:cs="Times New Roman"/>
                <w:noProof/>
                <w:color w:val="000000" w:themeColor="text1"/>
                <w:sz w:val="26"/>
                <w:szCs w:val="26"/>
                <w:lang w:eastAsia="lv-LV"/>
              </w:rPr>
              <w:t>–saistošie noteikumi neskar uzņēmējdarbības aktivitātes</w:t>
            </w:r>
            <w:r>
              <w:rPr>
                <w:rFonts w:ascii="Times New Roman" w:eastAsia="Times New Roman" w:hAnsi="Times New Roman" w:cs="Times New Roman"/>
                <w:noProof/>
                <w:color w:val="000000" w:themeColor="text1"/>
                <w:sz w:val="26"/>
                <w:szCs w:val="26"/>
                <w:lang w:eastAsia="lv-LV"/>
              </w:rPr>
              <w:t xml:space="preserve"> un ir saistoši visām fiziskajām un juridiskajām personām pašvaldības teritorijā. </w:t>
            </w:r>
          </w:p>
        </w:tc>
      </w:tr>
      <w:tr w14:paraId="663A7E8A" w14:textId="77777777" w:rsidTr="00267931">
        <w:tblPrEx>
          <w:tblW w:w="0" w:type="auto"/>
          <w:tblLook w:val="04A0"/>
        </w:tblPrEx>
        <w:tc>
          <w:tcPr>
            <w:tcW w:w="9247" w:type="dxa"/>
          </w:tcPr>
          <w:p w:rsidR="005776C6" w:rsidRPr="00E4791C" w:rsidP="00267931" w14:paraId="1F578210" w14:textId="7777777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rsidR="005776C6" w:rsidRPr="00C22F68" w:rsidP="00267931" w14:paraId="7B256FAF" w14:textId="77777777">
            <w:pPr>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Institūcija, kurā personas var vērsties saistošo noteikumu piemērošanas jautājumos, ir pašvaldības departamenta Vides pārvalde. Par atkritumu apsaimniekošanas saistošo noteikumu pārkāpumiem un neizpildi, personas ir saucamas pie atbildības normatīvajos aktos par atkritumu apsaimniekošanu un administratīvo atbildību noteiktajā kārtībā. Nav paredzētas administratīvo procedūru izmaksas.</w:t>
            </w:r>
          </w:p>
        </w:tc>
      </w:tr>
      <w:tr w14:paraId="6111C641" w14:textId="77777777" w:rsidTr="00267931">
        <w:tblPrEx>
          <w:tblW w:w="0" w:type="auto"/>
          <w:tblLook w:val="04A0"/>
        </w:tblPrEx>
        <w:tc>
          <w:tcPr>
            <w:tcW w:w="9247" w:type="dxa"/>
          </w:tcPr>
          <w:p w:rsidR="005776C6" w:rsidRPr="00E4791C" w:rsidP="00267931" w14:paraId="6D15589C" w14:textId="7777777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5. Ietekme uz pašvaldības funkcijām un cilvēkresursiem</w:t>
            </w:r>
          </w:p>
          <w:p w:rsidR="005776C6" w:rsidRPr="006B5535" w:rsidP="00267931" w14:paraId="66F548C3" w14:textId="77777777">
            <w:pPr>
              <w:jc w:val="both"/>
              <w:rPr>
                <w:rFonts w:ascii="Times New Roman" w:eastAsia="Times New Roman" w:hAnsi="Times New Roman" w:cs="Times New Roman"/>
                <w:color w:val="000000" w:themeColor="text1"/>
                <w:sz w:val="26"/>
                <w:szCs w:val="26"/>
                <w:lang w:eastAsia="lv-LV"/>
              </w:rPr>
            </w:pPr>
            <w:r w:rsidRPr="006B5535">
              <w:rPr>
                <w:rFonts w:ascii="Times New Roman" w:eastAsia="Times New Roman" w:hAnsi="Times New Roman" w:cs="Times New Roman"/>
                <w:color w:val="000000" w:themeColor="text1"/>
                <w:sz w:val="26"/>
                <w:szCs w:val="26"/>
                <w:lang w:eastAsia="lv-LV"/>
              </w:rPr>
              <w:t>Saistošie noteikumi ir nepieciešami Paš</w:t>
            </w:r>
            <w:r>
              <w:rPr>
                <w:rFonts w:ascii="Times New Roman" w:eastAsia="Times New Roman" w:hAnsi="Times New Roman" w:cs="Times New Roman"/>
                <w:color w:val="000000" w:themeColor="text1"/>
                <w:sz w:val="26"/>
                <w:szCs w:val="26"/>
                <w:lang w:eastAsia="lv-LV"/>
              </w:rPr>
              <w:t>valdību likuma 4. panta pirmās daļas 1. punktā noteikto pašvaldības autonomo funkciju izpildes nodrošināšanai un Atkritumu apsaimniekošanas likuma 8. panta 1. daļas 3. punkta izpildei.</w:t>
            </w:r>
          </w:p>
          <w:p w:rsidR="005776C6" w:rsidRPr="00E4791C" w:rsidP="00267931" w14:paraId="6AF556D9" w14:textId="77777777">
            <w:pPr>
              <w:jc w:val="both"/>
              <w:rPr>
                <w:rFonts w:ascii="Times New Roman" w:eastAsia="Times New Roman" w:hAnsi="Times New Roman" w:cs="Times New Roman"/>
                <w:b/>
                <w:bCs/>
                <w:color w:val="000000" w:themeColor="text1"/>
                <w:sz w:val="26"/>
                <w:szCs w:val="26"/>
                <w:lang w:eastAsia="lv-LV"/>
              </w:rPr>
            </w:pPr>
            <w:r w:rsidRPr="00004C60">
              <w:rPr>
                <w:rFonts w:ascii="Times New Roman" w:eastAsia="Times New Roman" w:hAnsi="Times New Roman" w:cs="Times New Roman"/>
                <w:color w:val="000000" w:themeColor="text1"/>
                <w:sz w:val="26"/>
                <w:szCs w:val="26"/>
                <w:lang w:eastAsia="lv-LV"/>
              </w:rPr>
              <w:t xml:space="preserve">Nav </w:t>
            </w:r>
            <w:r>
              <w:rPr>
                <w:rFonts w:ascii="Times New Roman" w:eastAsia="Times New Roman" w:hAnsi="Times New Roman" w:cs="Times New Roman"/>
                <w:color w:val="000000" w:themeColor="text1"/>
                <w:sz w:val="26"/>
                <w:szCs w:val="26"/>
                <w:lang w:eastAsia="lv-LV"/>
              </w:rPr>
              <w:t>ietekmes uz cilvēkresursiem.</w:t>
            </w:r>
          </w:p>
        </w:tc>
      </w:tr>
      <w:tr w14:paraId="32AE5F48" w14:textId="77777777" w:rsidTr="00267931">
        <w:tblPrEx>
          <w:tblW w:w="0" w:type="auto"/>
          <w:tblLook w:val="04A0"/>
        </w:tblPrEx>
        <w:tc>
          <w:tcPr>
            <w:tcW w:w="9247" w:type="dxa"/>
          </w:tcPr>
          <w:p w:rsidR="005776C6" w:rsidRPr="00E4791C" w:rsidP="00267931" w14:paraId="01EF9C89" w14:textId="77777777">
            <w:pPr>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rsidR="005776C6" w:rsidRPr="00E4791C" w:rsidP="00267931" w14:paraId="6054DCFA" w14:textId="77777777">
            <w:pPr>
              <w:rPr>
                <w:rFonts w:ascii="Times New Roman" w:eastAsia="Times New Roman" w:hAnsi="Times New Roman" w:cs="Times New Roman"/>
                <w:b/>
                <w:bCs/>
                <w:color w:val="000000" w:themeColor="text1"/>
                <w:sz w:val="26"/>
                <w:szCs w:val="26"/>
                <w:lang w:eastAsia="lv-LV"/>
              </w:rPr>
            </w:pPr>
            <w:r w:rsidRPr="00004C60">
              <w:rPr>
                <w:rFonts w:ascii="Times New Roman" w:eastAsia="Times New Roman" w:hAnsi="Times New Roman" w:cs="Times New Roman"/>
                <w:noProof/>
                <w:color w:val="000000" w:themeColor="text1"/>
                <w:sz w:val="26"/>
                <w:szCs w:val="26"/>
                <w:lang w:eastAsia="lv-LV"/>
              </w:rPr>
              <w:t xml:space="preserve">Izpildi nodrošina pašvaldības departamenta </w:t>
            </w:r>
            <w:r>
              <w:rPr>
                <w:rFonts w:ascii="Times New Roman" w:eastAsia="Times New Roman" w:hAnsi="Times New Roman" w:cs="Times New Roman"/>
                <w:noProof/>
                <w:color w:val="000000" w:themeColor="text1"/>
                <w:sz w:val="26"/>
                <w:szCs w:val="26"/>
                <w:lang w:eastAsia="lv-LV"/>
              </w:rPr>
              <w:t>Vides</w:t>
            </w:r>
            <w:r w:rsidRPr="00004C60">
              <w:rPr>
                <w:rFonts w:ascii="Times New Roman" w:eastAsia="Times New Roman" w:hAnsi="Times New Roman" w:cs="Times New Roman"/>
                <w:noProof/>
                <w:color w:val="000000" w:themeColor="text1"/>
                <w:sz w:val="26"/>
                <w:szCs w:val="26"/>
                <w:lang w:eastAsia="lv-LV"/>
              </w:rPr>
              <w:t xml:space="preserve"> pārvalde</w:t>
            </w:r>
            <w:r>
              <w:rPr>
                <w:rFonts w:ascii="Times New Roman" w:eastAsia="Times New Roman" w:hAnsi="Times New Roman" w:cs="Times New Roman"/>
                <w:noProof/>
                <w:color w:val="000000" w:themeColor="text1"/>
                <w:sz w:val="26"/>
                <w:szCs w:val="26"/>
                <w:lang w:eastAsia="lv-LV"/>
              </w:rPr>
              <w:t xml:space="preserve"> un pašvaldības policija. </w:t>
            </w:r>
          </w:p>
        </w:tc>
      </w:tr>
      <w:tr w14:paraId="106D2D04" w14:textId="77777777" w:rsidTr="00267931">
        <w:tblPrEx>
          <w:tblW w:w="0" w:type="auto"/>
          <w:tblLook w:val="04A0"/>
        </w:tblPrEx>
        <w:tc>
          <w:tcPr>
            <w:tcW w:w="9247" w:type="dxa"/>
          </w:tcPr>
          <w:p w:rsidR="005776C6" w:rsidRPr="00E4791C" w:rsidP="00267931" w14:paraId="668A0C52" w14:textId="7777777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rsidR="005776C6" w:rsidRPr="00E4791C" w:rsidP="00267931" w14:paraId="59078459" w14:textId="77777777">
            <w:pPr>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 xml:space="preserve">Saistošie noteikumi ir piemēroti iecerētā mērķa – </w:t>
            </w:r>
            <w:r w:rsidRPr="003329DE">
              <w:rPr>
                <w:rFonts w:ascii="Times New Roman" w:eastAsia="Times New Roman" w:hAnsi="Times New Roman" w:cs="Times New Roman"/>
                <w:noProof/>
                <w:color w:val="000000" w:themeColor="text1"/>
                <w:sz w:val="26"/>
                <w:szCs w:val="26"/>
                <w:lang w:eastAsia="lv-LV"/>
              </w:rPr>
              <w:t>lai aizsargātu vidi, cilvēku dzīvību un veselību, nodrošinātu atkritumu dalītu savākšanu un reģenerāciju, kā arī veicinātu atkritumu rašanās samazināšanu, dabas resursu efektīvu izmantošanu, atkārtoti lietojamu materiālu atgriešanu apritē un apglabājamo atkritumu apjoma samazināšanu; pašvaldības teritorijas dalījumu atkritumu apsaimniekošanas zonās; prasības atkritumu savākšanai, tajā skaitā minimālajam atkritumu savākšanas biežumam, pārvadāšanai, pārkraušanai, šķirošanai un uzglabāšanai; kārtību, kādā veicami maksājumi par atkritumu apsaimniekošanu</w:t>
            </w:r>
            <w:r>
              <w:rPr>
                <w:rFonts w:ascii="Times New Roman" w:eastAsia="Times New Roman" w:hAnsi="Times New Roman" w:cs="Times New Roman"/>
                <w:noProof/>
                <w:color w:val="000000" w:themeColor="text1"/>
                <w:sz w:val="26"/>
                <w:szCs w:val="26"/>
                <w:lang w:eastAsia="lv-LV"/>
              </w:rPr>
              <w:t xml:space="preserve"> – nodrošināšanai un paredz tikai to, kas nepieciešams minētā mērķa sasniegšanai. Pašvaldības izraudzītie līdzekļi un paredzamā rīcība ir piemēroti leģitīmā mērķa sasniegšanai un augstākstāvošiem normatīviem aktiem. </w:t>
            </w:r>
          </w:p>
        </w:tc>
      </w:tr>
      <w:tr w14:paraId="13E3E413" w14:textId="77777777" w:rsidTr="00267931">
        <w:tblPrEx>
          <w:tblW w:w="0" w:type="auto"/>
          <w:tblLook w:val="04A0"/>
        </w:tblPrEx>
        <w:tc>
          <w:tcPr>
            <w:tcW w:w="9247" w:type="dxa"/>
          </w:tcPr>
          <w:p w:rsidR="005776C6" w:rsidP="00267931" w14:paraId="4764AE65" w14:textId="7777777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rsidR="005776C6" w:rsidP="00267931" w14:paraId="7C833E84" w14:textId="77777777">
            <w:pPr>
              <w:ind w:firstLine="720"/>
              <w:jc w:val="both"/>
              <w:rPr>
                <w:rFonts w:ascii="Times New Roman" w:eastAsia="Times New Roman" w:hAnsi="Times New Roman" w:cs="Times New Roman"/>
                <w:color w:val="000000" w:themeColor="text1"/>
                <w:sz w:val="26"/>
                <w:szCs w:val="26"/>
                <w:lang w:eastAsia="lv-LV"/>
              </w:rPr>
            </w:pPr>
          </w:p>
          <w:p w:rsidR="005776C6" w:rsidP="00267931" w14:paraId="52024863" w14:textId="77777777">
            <w:pPr>
              <w:ind w:firstLine="720"/>
              <w:jc w:val="both"/>
              <w:rPr>
                <w:rFonts w:ascii="Times New Roman" w:eastAsia="Times New Roman" w:hAnsi="Times New Roman" w:cs="Times New Roman"/>
                <w:color w:val="000000" w:themeColor="text1"/>
                <w:sz w:val="26"/>
                <w:szCs w:val="26"/>
                <w:lang w:eastAsia="lv-LV"/>
              </w:rPr>
            </w:pPr>
          </w:p>
          <w:p w:rsidR="005776C6" w:rsidP="00267931" w14:paraId="3C9FD050" w14:textId="77777777">
            <w:pPr>
              <w:ind w:firstLine="720"/>
              <w:jc w:val="both"/>
              <w:rPr>
                <w:rFonts w:ascii="Times New Roman" w:eastAsia="Times New Roman" w:hAnsi="Times New Roman" w:cs="Times New Roman"/>
                <w:color w:val="000000" w:themeColor="text1"/>
                <w:sz w:val="26"/>
                <w:szCs w:val="26"/>
                <w:lang w:eastAsia="lv-LV"/>
              </w:rPr>
            </w:pPr>
          </w:p>
          <w:p w:rsidR="005776C6" w:rsidP="00267931" w14:paraId="5A075870" w14:textId="77777777">
            <w:pPr>
              <w:ind w:firstLine="720"/>
              <w:jc w:val="both"/>
              <w:rPr>
                <w:rFonts w:ascii="Times New Roman" w:eastAsia="Times New Roman" w:hAnsi="Times New Roman" w:cs="Times New Roman"/>
                <w:color w:val="000000" w:themeColor="text1"/>
                <w:sz w:val="26"/>
                <w:szCs w:val="26"/>
                <w:lang w:eastAsia="lv-LV"/>
              </w:rPr>
            </w:pPr>
          </w:p>
          <w:p w:rsidR="005776C6" w:rsidP="00267931" w14:paraId="66D8B68C" w14:textId="77777777">
            <w:pPr>
              <w:ind w:firstLine="720"/>
              <w:jc w:val="both"/>
              <w:rPr>
                <w:rFonts w:ascii="Times New Roman" w:eastAsia="Times New Roman" w:hAnsi="Times New Roman" w:cs="Times New Roman"/>
                <w:color w:val="000000" w:themeColor="text1"/>
                <w:sz w:val="26"/>
                <w:szCs w:val="26"/>
                <w:lang w:eastAsia="lv-LV"/>
              </w:rPr>
            </w:pPr>
          </w:p>
          <w:p w:rsidR="005776C6" w:rsidP="00267931" w14:paraId="22E00E59" w14:textId="77777777">
            <w:pPr>
              <w:ind w:firstLine="720"/>
              <w:jc w:val="both"/>
              <w:rPr>
                <w:rFonts w:ascii="Times New Roman" w:eastAsia="Times New Roman" w:hAnsi="Times New Roman" w:cs="Times New Roman"/>
                <w:color w:val="000000" w:themeColor="text1"/>
                <w:sz w:val="26"/>
                <w:szCs w:val="26"/>
                <w:lang w:eastAsia="lv-LV"/>
              </w:rPr>
            </w:pPr>
          </w:p>
          <w:p w:rsidR="005776C6" w:rsidRPr="003E5794" w:rsidP="00267931" w14:paraId="08933EFB" w14:textId="77777777">
            <w:pPr>
              <w:ind w:firstLine="720"/>
              <w:jc w:val="both"/>
              <w:rPr>
                <w:rFonts w:ascii="Times New Roman" w:eastAsia="Times New Roman" w:hAnsi="Times New Roman" w:cs="Times New Roman"/>
                <w:color w:val="000000" w:themeColor="text1"/>
                <w:sz w:val="26"/>
                <w:szCs w:val="26"/>
                <w:lang w:eastAsia="lv-LV"/>
              </w:rPr>
            </w:pPr>
          </w:p>
        </w:tc>
      </w:tr>
    </w:tbl>
    <w:p w:rsidR="00D865F3" w:rsidRPr="00965DE1" w:rsidP="00F10E25" w14:paraId="72C06BBC" w14:textId="5AF20DAC">
      <w:pPr>
        <w:spacing w:after="0" w:line="240" w:lineRule="auto"/>
        <w:rPr>
          <w:rFonts w:ascii="Times New Roman" w:hAnsi="Times New Roman" w:cs="Times New Roman"/>
          <w:sz w:val="26"/>
          <w:szCs w:val="26"/>
        </w:rPr>
      </w:pPr>
    </w:p>
    <w:p w:rsidR="00D865F3" w:rsidRPr="00965DE1" w:rsidP="00F10E25" w14:paraId="13035B6D" w14:textId="02D71335">
      <w:pPr>
        <w:spacing w:after="0" w:line="240" w:lineRule="auto"/>
        <w:rPr>
          <w:rFonts w:ascii="Times New Roman" w:hAnsi="Times New Roman" w:cs="Times New Roman"/>
          <w:sz w:val="26"/>
          <w:szCs w:val="26"/>
        </w:rPr>
      </w:pPr>
    </w:p>
    <w:p w:rsidR="00FA3E04" w:rsidRPr="00965DE1" w:rsidP="00F10E25" w14:paraId="6267B39B" w14:textId="52F8DFC4">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CC7B57" w:rsidR="00CC7B57">
        <w:rPr>
          <w:rFonts w:ascii="Times New Roman" w:hAnsi="Times New Roman" w:cs="Times New Roman"/>
          <w:sz w:val="26"/>
          <w:szCs w:val="26"/>
        </w:rPr>
        <w:t xml:space="preserve">V. </w:t>
      </w:r>
      <w:r w:rsidR="005776C6">
        <w:rPr>
          <w:rFonts w:ascii="Times New Roman" w:hAnsi="Times New Roman" w:cs="Times New Roman"/>
          <w:sz w:val="26"/>
          <w:szCs w:val="26"/>
        </w:rPr>
        <w:t>Kleinbergs</w:t>
      </w:r>
    </w:p>
    <w:sectPr w:rsidSect="00472BCD">
      <w:headerReference w:type="default" r:id="rId5"/>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561902"/>
      <w:docPartObj>
        <w:docPartGallery w:val="Page Numbers (Top of Page)"/>
        <w:docPartUnique/>
      </w:docPartObj>
    </w:sdtPr>
    <w:sdtEndPr>
      <w:rPr>
        <w:rFonts w:ascii="Times New Roman" w:hAnsi="Times New Roman" w:cs="Times New Roman"/>
        <w:sz w:val="26"/>
        <w:szCs w:val="26"/>
      </w:rPr>
    </w:sdtEndPr>
    <w:sdtContent>
      <w:p w:rsidR="00464AA1" w:rsidRPr="00464AA1" w14:paraId="226AE090" w14:textId="1E0A98AC">
        <w:pPr>
          <w:pStyle w:val="Header"/>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rsidR="00464AA1" w14:paraId="18EF6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04C7F2C"/>
    <w:multiLevelType w:val="hybridMultilevel"/>
    <w:tmpl w:val="10E0C2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4C60"/>
    <w:rsid w:val="001A4A24"/>
    <w:rsid w:val="001D0264"/>
    <w:rsid w:val="00267931"/>
    <w:rsid w:val="00271D86"/>
    <w:rsid w:val="002D7935"/>
    <w:rsid w:val="002F56BC"/>
    <w:rsid w:val="003063C8"/>
    <w:rsid w:val="003329DE"/>
    <w:rsid w:val="003D1D7D"/>
    <w:rsid w:val="003E5794"/>
    <w:rsid w:val="004333C3"/>
    <w:rsid w:val="00444237"/>
    <w:rsid w:val="00464AA1"/>
    <w:rsid w:val="00472BCD"/>
    <w:rsid w:val="004E17DC"/>
    <w:rsid w:val="004E403B"/>
    <w:rsid w:val="004E582F"/>
    <w:rsid w:val="00527C68"/>
    <w:rsid w:val="005776C6"/>
    <w:rsid w:val="00641B27"/>
    <w:rsid w:val="006B5535"/>
    <w:rsid w:val="00751899"/>
    <w:rsid w:val="007752F6"/>
    <w:rsid w:val="008C5041"/>
    <w:rsid w:val="008F7581"/>
    <w:rsid w:val="00965DE1"/>
    <w:rsid w:val="009841A1"/>
    <w:rsid w:val="009C1D24"/>
    <w:rsid w:val="009D76E9"/>
    <w:rsid w:val="00A104BA"/>
    <w:rsid w:val="00A75EA8"/>
    <w:rsid w:val="00B42E21"/>
    <w:rsid w:val="00BA4045"/>
    <w:rsid w:val="00C22F68"/>
    <w:rsid w:val="00CC7B57"/>
    <w:rsid w:val="00CD5B22"/>
    <w:rsid w:val="00D446EB"/>
    <w:rsid w:val="00D865F3"/>
    <w:rsid w:val="00E4791C"/>
    <w:rsid w:val="00F10E25"/>
    <w:rsid w:val="00FA3E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2F6"/>
    <w:pPr>
      <w:ind w:left="720"/>
      <w:contextualSpacing/>
    </w:pPr>
  </w:style>
  <w:style w:type="paragraph" w:styleId="Header">
    <w:name w:val="header"/>
    <w:basedOn w:val="Normal"/>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64AA1"/>
  </w:style>
  <w:style w:type="paragraph" w:styleId="Footer">
    <w:name w:val="footer"/>
    <w:basedOn w:val="Normal"/>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kem.gov.lv/lv/jaunums/tiks-istenota-stingraka-un-caurredzamaka-uzraudziba-atkritumu-regeneracijas-projektu-istenosan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5936</Words>
  <Characters>3385</Characters>
  <Application>Microsoft Office Word</Application>
  <DocSecurity>0</DocSecurity>
  <Lines>28</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Līga Libere-Igaune</cp:lastModifiedBy>
  <cp:revision>5</cp:revision>
  <dcterms:created xsi:type="dcterms:W3CDTF">2024-03-07T12:57:00Z</dcterms:created>
  <dcterms:modified xsi:type="dcterms:W3CDTF">2025-10-16T11:35:00Z</dcterms:modified>
</cp:coreProperties>
</file>