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19F2" w14:textId="77777777" w:rsidR="00DE64DE" w:rsidRPr="000075DA" w:rsidRDefault="00DE64DE" w:rsidP="00DE64DE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INCLUDEPICTURE  "C:\\Users\\Ilze.Bormeistere\\AppData\\Local\\Microsoft\\Windows\\INetCache\\Content.Outlook\\AppData\\Local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 </w:instrText>
      </w:r>
      <w:r>
        <w:rPr>
          <w:lang w:val="lv-LV"/>
        </w:rPr>
        <w:fldChar w:fldCharType="separate"/>
      </w:r>
      <w:r w:rsidR="00B74A49">
        <w:rPr>
          <w:lang w:val="lv-LV"/>
        </w:rPr>
        <w:fldChar w:fldCharType="begin"/>
      </w:r>
      <w:r w:rsidR="00B74A49">
        <w:rPr>
          <w:lang w:val="lv-LV"/>
        </w:rPr>
        <w:instrText xml:space="preserve"> INCLUDEPICTURE  "file:///C:\\Users\\Ilze.Bormeistere\\AppData\\Local\\Microsoft\\Windows\\INetCache\\Content.Outlook\\AppData\\Local%20Settings\\Temp\\Local%20Settings\\Temp\\1\\Local%20Settings\\Temp\\2\\Local%20Settings\\Temp\\2\\Local%20Settings\\Daiga.Culkstena\\Gunita.Cipure\\Gunita.Cipure\\RDLIS\\Rigas_gerbonis.JPG" \* MERGEFORMATINET </w:instrText>
      </w:r>
      <w:r w:rsidR="00B74A49">
        <w:rPr>
          <w:lang w:val="lv-LV"/>
        </w:rPr>
        <w:fldChar w:fldCharType="separate"/>
      </w:r>
      <w:r w:rsidR="00B74A49">
        <w:rPr>
          <w:lang w:val="lv-LV"/>
        </w:rPr>
        <w:pict w14:anchorId="455E8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3pt;height:57.05pt">
            <v:imagedata r:id="rId7" r:href="rId8"/>
          </v:shape>
        </w:pict>
      </w:r>
      <w:r w:rsidR="00B74A49">
        <w:rPr>
          <w:lang w:val="lv-LV"/>
        </w:rPr>
        <w:fldChar w:fldCharType="end"/>
      </w:r>
      <w:r>
        <w:rPr>
          <w:lang w:val="lv-LV"/>
        </w:rPr>
        <w:fldChar w:fldCharType="end"/>
      </w:r>
    </w:p>
    <w:p w14:paraId="60AB2C02" w14:textId="77777777" w:rsidR="00DE64DE" w:rsidRPr="000075DA" w:rsidRDefault="00DE64DE" w:rsidP="00DE64DE">
      <w:pPr>
        <w:jc w:val="center"/>
        <w:rPr>
          <w:sz w:val="6"/>
          <w:szCs w:val="6"/>
          <w:lang w:val="lv-LV"/>
        </w:rPr>
      </w:pPr>
    </w:p>
    <w:p w14:paraId="21C4336D" w14:textId="77777777" w:rsidR="00DE64DE" w:rsidRPr="000075DA" w:rsidRDefault="00DE64DE" w:rsidP="00DE64DE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Ētikas komisija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7EF5A93F" w14:textId="77777777" w:rsidR="00DE64DE" w:rsidRPr="000075DA" w:rsidRDefault="00DE64DE" w:rsidP="00DE64DE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Rātslaukums 1, Rīga, LV-1050, tālrunis 67026262, e</w:t>
      </w:r>
      <w:r w:rsidRPr="000075DA">
        <w:rPr>
          <w:sz w:val="22"/>
          <w:szCs w:val="22"/>
          <w:lang w:val="lv-LV"/>
        </w:rPr>
        <w:noBreakHyphen/>
        <w:t>pasts: ilze.bormeistere@riga.lv</w:t>
      </w:r>
    </w:p>
    <w:p w14:paraId="316ACF1F" w14:textId="77777777" w:rsidR="00DE64DE" w:rsidRPr="000075DA" w:rsidRDefault="00DE64DE" w:rsidP="00DE64DE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6998AE34" w14:textId="77777777" w:rsidR="00DE64DE" w:rsidRPr="000075DA" w:rsidRDefault="00DE64DE" w:rsidP="00DE64DE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Protokols</w:t>
      </w:r>
    </w:p>
    <w:p w14:paraId="215FE7D8" w14:textId="77777777" w:rsidR="00DE64DE" w:rsidRPr="002E316A" w:rsidRDefault="00DE64DE" w:rsidP="00DE64DE">
      <w:pPr>
        <w:jc w:val="center"/>
        <w:rPr>
          <w:sz w:val="16"/>
          <w:szCs w:val="16"/>
          <w:lang w:val="lv-LV"/>
        </w:rPr>
      </w:pPr>
    </w:p>
    <w:p w14:paraId="774E12F8" w14:textId="77777777" w:rsidR="00DE64DE" w:rsidRPr="000075DA" w:rsidRDefault="00DE64DE" w:rsidP="00DE64DE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093ABB91" w14:textId="77777777" w:rsidR="00DE64DE" w:rsidRPr="000075DA" w:rsidRDefault="00DE64DE" w:rsidP="00DE64DE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DE64DE" w14:paraId="1A3DAF8A" w14:textId="77777777" w:rsidTr="00D3759B">
        <w:tc>
          <w:tcPr>
            <w:tcW w:w="2660" w:type="dxa"/>
          </w:tcPr>
          <w:p w14:paraId="2D3A6CBD" w14:textId="77777777" w:rsidR="00DE64DE" w:rsidRPr="000075DA" w:rsidRDefault="00DE64DE" w:rsidP="00D3759B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09.09.2025.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356A57F1" w14:textId="77777777" w:rsidR="00DE64DE" w:rsidRPr="000075DA" w:rsidRDefault="00DE64DE" w:rsidP="00D3759B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4BBC84C1" w14:textId="77777777" w:rsidR="00DE64DE" w:rsidRPr="000075DA" w:rsidRDefault="00DE64DE" w:rsidP="00D3759B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PPEK-25-8-pro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4B84094A" w14:textId="77777777" w:rsidR="00DE64DE" w:rsidRPr="000075DA" w:rsidRDefault="00DE64DE" w:rsidP="00DE64DE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9572" w:type="dxa"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 w:rsidR="00DE64DE" w14:paraId="0561F7E7" w14:textId="77777777" w:rsidTr="00D3759B">
        <w:tc>
          <w:tcPr>
            <w:tcW w:w="4786" w:type="dxa"/>
          </w:tcPr>
          <w:p w14:paraId="236532A7" w14:textId="77777777" w:rsidR="00DE64DE" w:rsidRPr="00243D46" w:rsidRDefault="00DE64DE" w:rsidP="00D3759B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lv-LV"/>
              </w:rPr>
            </w:pPr>
            <w:proofErr w:type="spellStart"/>
            <w:r w:rsidRPr="00243D46">
              <w:rPr>
                <w:sz w:val="26"/>
                <w:szCs w:val="26"/>
                <w:lang w:eastAsia="lv-LV"/>
              </w:rPr>
              <w:t>Rīga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fldChar w:fldCharType="begin"/>
            </w:r>
            <w:r w:rsidRPr="00243D46">
              <w:rPr>
                <w:sz w:val="26"/>
                <w:szCs w:val="26"/>
                <w:lang w:eastAsia="lv-LV"/>
              </w:rPr>
              <w:instrText xml:space="preserve"> DOCPROPERTY  DOK_ANOTACIJA  \* MERGEFORMAT </w:instrText>
            </w:r>
            <w:r w:rsidRPr="00243D46">
              <w:rPr>
                <w:sz w:val="26"/>
                <w:szCs w:val="26"/>
                <w:lang w:eastAsia="lv-LV"/>
              </w:rPr>
              <w:fldChar w:fldCharType="separate"/>
            </w:r>
            <w:r w:rsidRPr="00243D46">
              <w:rPr>
                <w:sz w:val="26"/>
                <w:szCs w:val="26"/>
                <w:lang w:eastAsia="lv-LV"/>
              </w:rPr>
              <w:fldChar w:fldCharType="end"/>
            </w:r>
            <w:r w:rsidRPr="00243D46">
              <w:rPr>
                <w:sz w:val="26"/>
                <w:szCs w:val="26"/>
                <w:lang w:eastAsia="lv-LV"/>
              </w:rPr>
              <w:t xml:space="preserve">,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sēde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sākas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plkst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>.  10.00    </w:t>
            </w:r>
          </w:p>
          <w:p w14:paraId="7C54F12E" w14:textId="77777777" w:rsidR="00DE64DE" w:rsidRPr="000075DA" w:rsidRDefault="00DE64DE" w:rsidP="00D3759B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  <w:tc>
          <w:tcPr>
            <w:tcW w:w="4786" w:type="dxa"/>
          </w:tcPr>
          <w:p w14:paraId="61B55A9C" w14:textId="77777777" w:rsidR="00DE64DE" w:rsidRPr="000075DA" w:rsidRDefault="00DE64DE" w:rsidP="00D3759B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1A701B9B" w14:textId="77777777" w:rsidR="00DE64DE" w:rsidRPr="00243D46" w:rsidRDefault="00DE64DE" w:rsidP="00DE64DE">
      <w:pPr>
        <w:ind w:firstLine="720"/>
        <w:jc w:val="both"/>
        <w:rPr>
          <w:sz w:val="26"/>
          <w:szCs w:val="26"/>
        </w:rPr>
      </w:pPr>
    </w:p>
    <w:p w14:paraId="59DFD61C" w14:textId="77777777" w:rsidR="00DE64DE" w:rsidRPr="00243D46" w:rsidRDefault="00DE64DE" w:rsidP="00DE64DE">
      <w:pPr>
        <w:ind w:firstLine="567"/>
        <w:jc w:val="both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r w:rsidRPr="00243D46">
        <w:rPr>
          <w:sz w:val="26"/>
          <w:szCs w:val="26"/>
          <w:lang w:eastAsia="lv-LV"/>
        </w:rPr>
        <w:t xml:space="preserve">Rīgas </w:t>
      </w:r>
      <w:proofErr w:type="spellStart"/>
      <w:r w:rsidRPr="00243D46">
        <w:rPr>
          <w:sz w:val="26"/>
          <w:szCs w:val="26"/>
          <w:lang w:eastAsia="lv-LV"/>
        </w:rPr>
        <w:t>valstspilsētas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pašvaldības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Ētikas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komisijas</w:t>
      </w:r>
      <w:proofErr w:type="spellEnd"/>
      <w:r w:rsidRPr="00243D46">
        <w:rPr>
          <w:sz w:val="26"/>
          <w:szCs w:val="26"/>
          <w:lang w:eastAsia="lv-LV"/>
        </w:rPr>
        <w:t xml:space="preserve"> (</w:t>
      </w:r>
      <w:proofErr w:type="spellStart"/>
      <w:r w:rsidRPr="00243D46">
        <w:rPr>
          <w:sz w:val="26"/>
          <w:szCs w:val="26"/>
          <w:lang w:eastAsia="lv-LV"/>
        </w:rPr>
        <w:t>turpmāk</w:t>
      </w:r>
      <w:proofErr w:type="spellEnd"/>
      <w:r w:rsidRPr="00243D46">
        <w:rPr>
          <w:sz w:val="26"/>
          <w:szCs w:val="26"/>
          <w:lang w:eastAsia="lv-LV"/>
        </w:rPr>
        <w:t xml:space="preserve"> – </w:t>
      </w:r>
      <w:proofErr w:type="spellStart"/>
      <w:r w:rsidRPr="00243D46">
        <w:rPr>
          <w:sz w:val="26"/>
          <w:szCs w:val="26"/>
          <w:lang w:eastAsia="lv-LV"/>
        </w:rPr>
        <w:t>komisija</w:t>
      </w:r>
      <w:proofErr w:type="spellEnd"/>
      <w:r w:rsidRPr="00243D46">
        <w:rPr>
          <w:sz w:val="26"/>
          <w:szCs w:val="26"/>
          <w:lang w:eastAsia="lv-LV"/>
        </w:rPr>
        <w:t xml:space="preserve">) </w:t>
      </w:r>
      <w:proofErr w:type="spellStart"/>
      <w:r w:rsidRPr="00243D46">
        <w:rPr>
          <w:sz w:val="26"/>
          <w:szCs w:val="26"/>
          <w:lang w:eastAsia="lv-LV"/>
        </w:rPr>
        <w:t>sēdē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piedalās</w:t>
      </w:r>
      <w:proofErr w:type="spellEnd"/>
      <w:r w:rsidRPr="00243D46">
        <w:rPr>
          <w:sz w:val="26"/>
          <w:szCs w:val="26"/>
          <w:lang w:eastAsia="lv-LV"/>
        </w:rPr>
        <w:t>:    </w:t>
      </w:r>
    </w:p>
    <w:tbl>
      <w:tblPr>
        <w:tblW w:w="9618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162"/>
        <w:gridCol w:w="270"/>
        <w:gridCol w:w="6454"/>
        <w:gridCol w:w="222"/>
      </w:tblGrid>
      <w:tr w:rsidR="00DE64DE" w14:paraId="1AF18877" w14:textId="77777777" w:rsidTr="00D3759B">
        <w:trPr>
          <w:trHeight w:val="300"/>
        </w:trPr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25D0FA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proofErr w:type="spellStart"/>
            <w:r w:rsidRPr="00243D46">
              <w:rPr>
                <w:sz w:val="26"/>
                <w:szCs w:val="26"/>
                <w:lang w:eastAsia="lv-LV"/>
              </w:rPr>
              <w:t>komisijas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priekšsēdētāja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>: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EFABB" w14:textId="77777777" w:rsidR="00DE64DE" w:rsidRPr="00243D46" w:rsidRDefault="00DE64DE" w:rsidP="00D3759B">
            <w:pPr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75D823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 </w:t>
            </w:r>
          </w:p>
        </w:tc>
      </w:tr>
      <w:tr w:rsidR="00DE64DE" w14:paraId="2D9998C7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CF73A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Fatma Frīdenberga 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75362C" w14:textId="77777777" w:rsidR="00DE64DE" w:rsidRPr="00243D46" w:rsidRDefault="00DE64DE" w:rsidP="00D3759B">
            <w:pPr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– 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AC2879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 xml:space="preserve">Rīgas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valstspilsētas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pašvaldības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Centrālās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proofErr w:type="gramStart"/>
            <w:r w:rsidRPr="00243D46">
              <w:rPr>
                <w:sz w:val="26"/>
                <w:szCs w:val="26"/>
                <w:lang w:eastAsia="lv-LV"/>
              </w:rPr>
              <w:t>administrācijas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 (</w:t>
            </w:r>
            <w:proofErr w:type="spellStart"/>
            <w:proofErr w:type="gramEnd"/>
            <w:r w:rsidRPr="00243D46">
              <w:rPr>
                <w:sz w:val="26"/>
                <w:szCs w:val="26"/>
                <w:lang w:eastAsia="lv-LV"/>
              </w:rPr>
              <w:t>turpmāk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–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Centrālā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administrācija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)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Juridiskās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pārvaldes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vadītāja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vietniece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> </w:t>
            </w:r>
          </w:p>
        </w:tc>
      </w:tr>
      <w:tr w:rsidR="00DE64DE" w14:paraId="616D9B82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6D6A4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proofErr w:type="spellStart"/>
            <w:r w:rsidRPr="00243D46">
              <w:rPr>
                <w:sz w:val="26"/>
                <w:szCs w:val="26"/>
                <w:lang w:eastAsia="lv-LV"/>
              </w:rPr>
              <w:t>komisijas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locekļi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>: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E5554D" w14:textId="77777777" w:rsidR="00DE64DE" w:rsidRPr="00243D46" w:rsidRDefault="00DE64DE" w:rsidP="00D3759B">
            <w:pPr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065166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 </w:t>
            </w:r>
          </w:p>
        </w:tc>
      </w:tr>
      <w:tr w:rsidR="00DE64DE" w14:paraId="2A2E51DA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3A1D1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Sandra Laganovska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93B5BA" w14:textId="77777777" w:rsidR="00DE64DE" w:rsidRPr="00243D46" w:rsidRDefault="00DE64DE" w:rsidP="00D3759B">
            <w:pPr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AF8281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Centrālās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administrācijas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Dokumentu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vadības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un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deputātu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atbalsta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pārvaldes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vadītāja</w:t>
            </w:r>
            <w:proofErr w:type="spellEnd"/>
            <w:r w:rsidRPr="00243D46">
              <w:rPr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E64DE" w14:paraId="27379E2F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6DA82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Elīna Trautmane 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F97D8C" w14:textId="77777777" w:rsidR="00DE64DE" w:rsidRPr="00243D46" w:rsidRDefault="00DE64DE" w:rsidP="00D3759B">
            <w:pPr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– 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525946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 xml:space="preserve">Rīgas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pilsētas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izpilddirektora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biroja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vadītāja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>  </w:t>
            </w:r>
          </w:p>
        </w:tc>
      </w:tr>
      <w:tr w:rsidR="00DE64DE" w14:paraId="50198CA8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C3D0E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Anda Ozola-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Mežala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7EFC9B" w14:textId="77777777" w:rsidR="00DE64DE" w:rsidRPr="00243D46" w:rsidRDefault="00DE64DE" w:rsidP="00D3759B">
            <w:pPr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AD9AD3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Centrālās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administrācijas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Cilvēkresursu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pārvaldes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galvenā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juriste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darba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tiesību</w:t>
            </w:r>
            <w:proofErr w:type="spellEnd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243D46">
              <w:rPr>
                <w:color w:val="000000"/>
                <w:sz w:val="26"/>
                <w:szCs w:val="26"/>
                <w:shd w:val="clear" w:color="auto" w:fill="FFFFFF"/>
                <w:lang w:eastAsia="lv-LV"/>
              </w:rPr>
              <w:t>jautājumos</w:t>
            </w:r>
            <w:proofErr w:type="spellEnd"/>
          </w:p>
        </w:tc>
      </w:tr>
      <w:tr w:rsidR="00DE64DE" w14:paraId="6C2F71B2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FA78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D6CDF2" w14:textId="77777777" w:rsidR="00DE64DE" w:rsidRPr="00243D46" w:rsidRDefault="00DE64DE" w:rsidP="00D3759B">
            <w:pPr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A79C99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 w:rsidRPr="00243D46">
              <w:rPr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E64DE" w14:paraId="2DD7D763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9AAE1" w14:textId="77777777" w:rsidR="00DE64DE" w:rsidRPr="00243D46" w:rsidRDefault="00DE64DE" w:rsidP="00D3759B">
            <w:pPr>
              <w:textAlignment w:val="baseline"/>
              <w:rPr>
                <w:lang w:eastAsia="lv-LV"/>
              </w:rPr>
            </w:pPr>
            <w:proofErr w:type="spellStart"/>
            <w:r w:rsidRPr="00243D46">
              <w:rPr>
                <w:sz w:val="26"/>
                <w:szCs w:val="26"/>
                <w:lang w:eastAsia="lv-LV"/>
              </w:rPr>
              <w:t>komisijas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sekretāre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>: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8D6543" w14:textId="77777777" w:rsidR="00DE64DE" w:rsidRPr="00243D46" w:rsidRDefault="00DE64DE" w:rsidP="00D3759B">
            <w:pPr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287FD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14:paraId="23D7EE25" w14:textId="77777777" w:rsidR="00DE64DE" w:rsidRPr="00243D46" w:rsidRDefault="00DE64DE" w:rsidP="00D3759B">
            <w:pPr>
              <w:rPr>
                <w:sz w:val="20"/>
                <w:szCs w:val="20"/>
              </w:rPr>
            </w:pPr>
          </w:p>
        </w:tc>
      </w:tr>
      <w:tr w:rsidR="00DE64DE" w14:paraId="71653F86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EB18D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Ilze Bormeistere 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9E5E17" w14:textId="77777777" w:rsidR="00DE64DE" w:rsidRPr="00243D46" w:rsidRDefault="00DE64DE" w:rsidP="00D3759B">
            <w:pPr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–  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C7976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proofErr w:type="spellStart"/>
            <w:r w:rsidRPr="00243D46">
              <w:rPr>
                <w:sz w:val="26"/>
                <w:szCs w:val="26"/>
                <w:lang w:eastAsia="lv-LV"/>
              </w:rPr>
              <w:t>Centrālās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administrācijas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Juridiskās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pārvaldes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Tiesiskās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uzraudzības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nodaļas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galvenā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juriste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14:paraId="5B1C8D4A" w14:textId="77777777" w:rsidR="00DE64DE" w:rsidRPr="00243D46" w:rsidRDefault="00DE64DE" w:rsidP="00D3759B">
            <w:pPr>
              <w:rPr>
                <w:sz w:val="20"/>
                <w:szCs w:val="20"/>
              </w:rPr>
            </w:pPr>
          </w:p>
        </w:tc>
      </w:tr>
      <w:tr w:rsidR="00DE64DE" w14:paraId="46EFCF40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5442EA3E" w14:textId="77777777" w:rsidR="00DE64DE" w:rsidRPr="00243D46" w:rsidRDefault="00DE64DE" w:rsidP="00D3759B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14263" w14:textId="77777777" w:rsidR="00DE64DE" w:rsidRPr="00243D46" w:rsidRDefault="00DE64DE" w:rsidP="00D3759B">
            <w:pPr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14:paraId="64FC9F16" w14:textId="77777777" w:rsidR="00DE64DE" w:rsidRPr="00243D46" w:rsidRDefault="00DE64DE" w:rsidP="00D3759B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4A700800" w14:textId="77777777" w:rsidR="00DE64DE" w:rsidRPr="00243D46" w:rsidRDefault="00DE64DE" w:rsidP="00D3759B">
            <w:pPr>
              <w:rPr>
                <w:sz w:val="20"/>
                <w:szCs w:val="20"/>
              </w:rPr>
            </w:pPr>
          </w:p>
        </w:tc>
      </w:tr>
      <w:tr w:rsidR="00DE64DE" w14:paraId="1251F52D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78EEAFA0" w14:textId="77777777" w:rsidR="00DE64DE" w:rsidRPr="00243D46" w:rsidRDefault="00DE64DE" w:rsidP="00D3759B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proofErr w:type="spellStart"/>
            <w:r w:rsidRPr="00243D46">
              <w:rPr>
                <w:sz w:val="26"/>
                <w:szCs w:val="26"/>
                <w:lang w:eastAsia="lv-LV"/>
              </w:rPr>
              <w:t>Pieaicinātās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personas: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4841C" w14:textId="77777777" w:rsidR="00DE64DE" w:rsidRPr="00243D46" w:rsidRDefault="00DE64DE" w:rsidP="00D3759B">
            <w:pPr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14:paraId="2EDD1119" w14:textId="77777777" w:rsidR="00DE64DE" w:rsidRPr="00243D46" w:rsidRDefault="00DE64DE" w:rsidP="00D3759B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71E5A759" w14:textId="77777777" w:rsidR="00DE64DE" w:rsidRPr="00243D46" w:rsidRDefault="00DE64DE" w:rsidP="00D3759B">
            <w:pPr>
              <w:rPr>
                <w:sz w:val="20"/>
                <w:szCs w:val="20"/>
              </w:rPr>
            </w:pPr>
          </w:p>
        </w:tc>
      </w:tr>
      <w:tr w:rsidR="00DE64DE" w14:paraId="206B76CC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76BED" w14:textId="24B14C0F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>
              <w:rPr>
                <w:lang w:eastAsia="lv-LV"/>
              </w:rPr>
              <w:t>XX</w:t>
            </w:r>
            <w:r w:rsidRPr="00243D46">
              <w:rPr>
                <w:lang w:eastAsia="lv-LV"/>
              </w:rPr>
              <w:t xml:space="preserve"> (</w:t>
            </w:r>
            <w:proofErr w:type="spellStart"/>
            <w:r w:rsidRPr="00243D46">
              <w:rPr>
                <w:lang w:eastAsia="lv-LV"/>
              </w:rPr>
              <w:t>turpmāk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arī</w:t>
            </w:r>
            <w:proofErr w:type="spellEnd"/>
            <w:r w:rsidRPr="00243D46">
              <w:rPr>
                <w:lang w:eastAsia="lv-LV"/>
              </w:rPr>
              <w:t xml:space="preserve"> – </w:t>
            </w:r>
            <w:proofErr w:type="spellStart"/>
            <w:r w:rsidRPr="00243D46">
              <w:rPr>
                <w:lang w:eastAsia="lv-LV"/>
              </w:rPr>
              <w:t>iesniedzēja</w:t>
            </w:r>
            <w:proofErr w:type="spellEnd"/>
            <w:r w:rsidRPr="00243D46">
              <w:rPr>
                <w:lang w:eastAsia="lv-LV"/>
              </w:rPr>
              <w:t>)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34663A" w14:textId="77777777" w:rsidR="00DE64DE" w:rsidRPr="00243D46" w:rsidRDefault="00DE64DE" w:rsidP="00D3759B">
            <w:pPr>
              <w:textAlignment w:val="baseline"/>
              <w:rPr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 –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26DC1" w14:textId="422691A1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 w:rsidRPr="00243D46">
              <w:rPr>
                <w:lang w:eastAsia="lv-LV"/>
              </w:rPr>
              <w:t xml:space="preserve">Rīgas </w:t>
            </w:r>
            <w:proofErr w:type="spellStart"/>
            <w:r w:rsidRPr="00243D46">
              <w:rPr>
                <w:lang w:eastAsia="lv-LV"/>
              </w:rPr>
              <w:t>valstspilsētas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pašvaldības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Mājokļu</w:t>
            </w:r>
            <w:proofErr w:type="spellEnd"/>
            <w:r w:rsidRPr="00243D46">
              <w:rPr>
                <w:lang w:eastAsia="lv-LV"/>
              </w:rPr>
              <w:t xml:space="preserve"> un vides </w:t>
            </w:r>
            <w:proofErr w:type="spellStart"/>
            <w:r w:rsidRPr="00243D46">
              <w:rPr>
                <w:lang w:eastAsia="lv-LV"/>
              </w:rPr>
              <w:t>departamenta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r>
              <w:rPr>
                <w:lang w:eastAsia="lv-LV"/>
              </w:rPr>
              <w:t>XX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14:paraId="22793ED0" w14:textId="77777777" w:rsidR="00DE64DE" w:rsidRPr="00243D46" w:rsidRDefault="00DE64DE" w:rsidP="00D3759B">
            <w:pPr>
              <w:rPr>
                <w:sz w:val="20"/>
                <w:szCs w:val="20"/>
              </w:rPr>
            </w:pPr>
          </w:p>
        </w:tc>
      </w:tr>
      <w:tr w:rsidR="00DE64DE" w14:paraId="7C73C816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55B943A7" w14:textId="41D2EA0C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>
              <w:rPr>
                <w:lang w:eastAsia="lv-LV"/>
              </w:rPr>
              <w:t>XX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54BD0" w14:textId="77777777" w:rsidR="00DE64DE" w:rsidRPr="00243D46" w:rsidRDefault="00DE64DE" w:rsidP="00D3759B">
            <w:pPr>
              <w:textAlignment w:val="baseline"/>
              <w:rPr>
                <w:sz w:val="26"/>
                <w:szCs w:val="26"/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 xml:space="preserve"> –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14:paraId="2C1A44DA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proofErr w:type="spellStart"/>
            <w:r w:rsidRPr="00243D46">
              <w:rPr>
                <w:lang w:eastAsia="lv-LV"/>
              </w:rPr>
              <w:t>iesniedzējas</w:t>
            </w:r>
            <w:proofErr w:type="spellEnd"/>
            <w:r w:rsidRPr="00243D46">
              <w:rPr>
                <w:lang w:eastAsia="lv-LV"/>
              </w:rPr>
              <w:t xml:space="preserve">, </w:t>
            </w:r>
            <w:proofErr w:type="spellStart"/>
            <w:r w:rsidRPr="00243D46">
              <w:rPr>
                <w:lang w:eastAsia="lv-LV"/>
              </w:rPr>
              <w:t>atbilstoši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komisijas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nolikuma</w:t>
            </w:r>
            <w:proofErr w:type="spellEnd"/>
            <w:r>
              <w:rPr>
                <w:rStyle w:val="Vresatsauce"/>
                <w:lang w:eastAsia="lv-LV"/>
              </w:rPr>
              <w:footnoteReference w:id="2"/>
            </w:r>
            <w:r w:rsidRPr="00243D46">
              <w:rPr>
                <w:lang w:eastAsia="lv-LV"/>
              </w:rPr>
              <w:t xml:space="preserve"> 20. </w:t>
            </w:r>
            <w:proofErr w:type="spellStart"/>
            <w:r w:rsidRPr="00243D46">
              <w:rPr>
                <w:lang w:eastAsia="lv-LV"/>
              </w:rPr>
              <w:t>punktam</w:t>
            </w:r>
            <w:proofErr w:type="spellEnd"/>
            <w:r w:rsidRPr="00243D46">
              <w:rPr>
                <w:lang w:eastAsia="lv-LV"/>
              </w:rPr>
              <w:t xml:space="preserve">, </w:t>
            </w:r>
            <w:proofErr w:type="spellStart"/>
            <w:r w:rsidRPr="00243D46">
              <w:rPr>
                <w:lang w:eastAsia="lv-LV"/>
              </w:rPr>
              <w:t>pieaicinātā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uzticības</w:t>
            </w:r>
            <w:proofErr w:type="spellEnd"/>
            <w:r w:rsidRPr="00243D46">
              <w:rPr>
                <w:lang w:eastAsia="lv-LV"/>
              </w:rPr>
              <w:t xml:space="preserve"> persona (</w:t>
            </w:r>
            <w:proofErr w:type="spellStart"/>
            <w:r w:rsidRPr="00243D46">
              <w:rPr>
                <w:lang w:eastAsia="lv-LV"/>
              </w:rPr>
              <w:t>turpmāk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arī</w:t>
            </w:r>
            <w:proofErr w:type="spellEnd"/>
            <w:r w:rsidRPr="00243D46">
              <w:rPr>
                <w:lang w:eastAsia="lv-LV"/>
              </w:rPr>
              <w:t xml:space="preserve"> – </w:t>
            </w:r>
            <w:proofErr w:type="spellStart"/>
            <w:r w:rsidRPr="00243D46">
              <w:rPr>
                <w:lang w:eastAsia="lv-LV"/>
              </w:rPr>
              <w:t>uzticības</w:t>
            </w:r>
            <w:proofErr w:type="spellEnd"/>
            <w:r w:rsidRPr="00243D46">
              <w:rPr>
                <w:lang w:eastAsia="lv-LV"/>
              </w:rPr>
              <w:t xml:space="preserve"> persona) 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06D03451" w14:textId="77777777" w:rsidR="00DE64DE" w:rsidRPr="00243D46" w:rsidRDefault="00DE64DE" w:rsidP="00D3759B">
            <w:pPr>
              <w:rPr>
                <w:sz w:val="20"/>
                <w:szCs w:val="20"/>
              </w:rPr>
            </w:pPr>
          </w:p>
        </w:tc>
      </w:tr>
      <w:tr w:rsidR="00DE64DE" w14:paraId="10620D04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00CFEAD5" w14:textId="3216AE93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r>
              <w:rPr>
                <w:lang w:eastAsia="lv-LV"/>
              </w:rPr>
              <w:t>Edijs Pelšs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0A427" w14:textId="77777777" w:rsidR="00DE64DE" w:rsidRPr="00243D46" w:rsidRDefault="00DE64DE" w:rsidP="00D3759B">
            <w:pPr>
              <w:textAlignment w:val="baseline"/>
              <w:rPr>
                <w:sz w:val="26"/>
                <w:szCs w:val="26"/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 xml:space="preserve"> –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14:paraId="53563D8A" w14:textId="07216E2F" w:rsidR="00DE64DE" w:rsidRPr="00243D46" w:rsidRDefault="00DE64DE" w:rsidP="00D3759B">
            <w:pPr>
              <w:rPr>
                <w:lang w:eastAsia="lv-LV"/>
              </w:rPr>
            </w:pPr>
            <w:r w:rsidRPr="00243D46">
              <w:rPr>
                <w:lang w:eastAsia="lv-LV"/>
              </w:rPr>
              <w:t xml:space="preserve">Rīgas </w:t>
            </w:r>
            <w:proofErr w:type="spellStart"/>
            <w:r w:rsidRPr="00243D46">
              <w:rPr>
                <w:lang w:eastAsia="lv-LV"/>
              </w:rPr>
              <w:t>valstspilsētas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pašvaldības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Mājokļu</w:t>
            </w:r>
            <w:proofErr w:type="spellEnd"/>
            <w:r w:rsidRPr="00243D46">
              <w:rPr>
                <w:lang w:eastAsia="lv-LV"/>
              </w:rPr>
              <w:t xml:space="preserve"> un vides </w:t>
            </w:r>
            <w:proofErr w:type="spellStart"/>
            <w:r w:rsidRPr="00243D46">
              <w:rPr>
                <w:lang w:eastAsia="lv-LV"/>
              </w:rPr>
              <w:t>departamenta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>
              <w:rPr>
                <w:lang w:eastAsia="lv-LV"/>
              </w:rPr>
              <w:t>direktora</w:t>
            </w:r>
            <w:proofErr w:type="spellEnd"/>
            <w:r>
              <w:rPr>
                <w:lang w:eastAsia="lv-LV"/>
              </w:rPr>
              <w:t xml:space="preserve"> </w:t>
            </w:r>
            <w:proofErr w:type="spellStart"/>
            <w:r>
              <w:rPr>
                <w:lang w:eastAsia="lv-LV"/>
              </w:rPr>
              <w:t>pienākumu</w:t>
            </w:r>
            <w:proofErr w:type="spellEnd"/>
            <w:r>
              <w:rPr>
                <w:lang w:eastAsia="lv-LV"/>
              </w:rPr>
              <w:t xml:space="preserve"> </w:t>
            </w:r>
            <w:proofErr w:type="spellStart"/>
            <w:r>
              <w:rPr>
                <w:lang w:eastAsia="lv-LV"/>
              </w:rPr>
              <w:t>izpildītājs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2E83C67A" w14:textId="77777777" w:rsidR="00DE64DE" w:rsidRPr="00243D46" w:rsidRDefault="00DE64DE" w:rsidP="00D3759B">
            <w:pPr>
              <w:rPr>
                <w:sz w:val="20"/>
                <w:szCs w:val="20"/>
              </w:rPr>
            </w:pPr>
          </w:p>
        </w:tc>
      </w:tr>
      <w:tr w:rsidR="00DE64DE" w14:paraId="101A0CF8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1C9A0C00" w14:textId="77777777" w:rsidR="00DE64DE" w:rsidRPr="00243D46" w:rsidRDefault="00DE64DE" w:rsidP="00D3759B">
            <w:pPr>
              <w:jc w:val="both"/>
              <w:textAlignment w:val="baseline"/>
              <w:rPr>
                <w:lang w:eastAsia="lv-LV"/>
              </w:rPr>
            </w:pPr>
            <w:proofErr w:type="spellStart"/>
            <w:r w:rsidRPr="00243D46">
              <w:rPr>
                <w:sz w:val="26"/>
                <w:szCs w:val="26"/>
                <w:lang w:eastAsia="lv-LV"/>
              </w:rPr>
              <w:t>Sēdē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243D46">
              <w:rPr>
                <w:sz w:val="26"/>
                <w:szCs w:val="26"/>
                <w:lang w:eastAsia="lv-LV"/>
              </w:rPr>
              <w:t>nepiedalās</w:t>
            </w:r>
            <w:proofErr w:type="spellEnd"/>
            <w:r w:rsidRPr="00243D46">
              <w:rPr>
                <w:sz w:val="26"/>
                <w:szCs w:val="26"/>
                <w:lang w:eastAsia="lv-LV"/>
              </w:rPr>
              <w:t xml:space="preserve">: 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B22A8" w14:textId="77777777" w:rsidR="00DE64DE" w:rsidRPr="00243D46" w:rsidRDefault="00DE64DE" w:rsidP="00D3759B">
            <w:pPr>
              <w:textAlignment w:val="baseline"/>
              <w:rPr>
                <w:sz w:val="26"/>
                <w:szCs w:val="26"/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 xml:space="preserve"> 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14:paraId="77FD6BE2" w14:textId="77777777" w:rsidR="00DE64DE" w:rsidRPr="00243D46" w:rsidRDefault="00DE64DE" w:rsidP="00D3759B">
            <w:pPr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5020A9AC" w14:textId="77777777" w:rsidR="00DE64DE" w:rsidRPr="00243D46" w:rsidRDefault="00DE64DE" w:rsidP="00D3759B">
            <w:pPr>
              <w:rPr>
                <w:sz w:val="20"/>
                <w:szCs w:val="20"/>
              </w:rPr>
            </w:pPr>
          </w:p>
        </w:tc>
      </w:tr>
      <w:tr w:rsidR="00DE64DE" w14:paraId="6B847F4D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527045A2" w14:textId="77777777" w:rsidR="00DE64DE" w:rsidRPr="00243D46" w:rsidRDefault="00DE64DE" w:rsidP="00D3759B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>Inta Petroniene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C32E4" w14:textId="77777777" w:rsidR="00DE64DE" w:rsidRPr="00243D46" w:rsidRDefault="00DE64DE" w:rsidP="00D3759B">
            <w:pPr>
              <w:textAlignment w:val="baseline"/>
              <w:rPr>
                <w:sz w:val="26"/>
                <w:szCs w:val="26"/>
                <w:lang w:eastAsia="lv-LV"/>
              </w:rPr>
            </w:pPr>
            <w:r w:rsidRPr="00243D46">
              <w:rPr>
                <w:sz w:val="26"/>
                <w:szCs w:val="26"/>
                <w:lang w:eastAsia="lv-LV"/>
              </w:rPr>
              <w:t xml:space="preserve"> –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14:paraId="12A922E8" w14:textId="77777777" w:rsidR="00DE64DE" w:rsidRPr="00243D46" w:rsidRDefault="00DE64DE" w:rsidP="00D3759B">
            <w:pPr>
              <w:rPr>
                <w:lang w:eastAsia="lv-LV"/>
              </w:rPr>
            </w:pPr>
            <w:proofErr w:type="spellStart"/>
            <w:r w:rsidRPr="00243D46">
              <w:rPr>
                <w:lang w:eastAsia="lv-LV"/>
              </w:rPr>
              <w:t>Centrālās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administrācijas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Kapitālsabiedrību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pārvaldes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Metodoloģijas</w:t>
            </w:r>
            <w:proofErr w:type="spellEnd"/>
            <w:r w:rsidRPr="00243D46">
              <w:rPr>
                <w:lang w:eastAsia="lv-LV"/>
              </w:rPr>
              <w:t xml:space="preserve"> un </w:t>
            </w:r>
            <w:proofErr w:type="spellStart"/>
            <w:r w:rsidRPr="00243D46">
              <w:rPr>
                <w:lang w:eastAsia="lv-LV"/>
              </w:rPr>
              <w:t>procesu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atbalsta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nodaļas</w:t>
            </w:r>
            <w:proofErr w:type="spellEnd"/>
            <w:r w:rsidRPr="00243D46">
              <w:rPr>
                <w:lang w:eastAsia="lv-LV"/>
              </w:rPr>
              <w:t xml:space="preserve"> </w:t>
            </w:r>
            <w:proofErr w:type="spellStart"/>
            <w:r w:rsidRPr="00243D46">
              <w:rPr>
                <w:lang w:eastAsia="lv-LV"/>
              </w:rPr>
              <w:t>vadītāja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7DACDC18" w14:textId="77777777" w:rsidR="00DE64DE" w:rsidRPr="00243D46" w:rsidRDefault="00DE64DE" w:rsidP="00D3759B">
            <w:pPr>
              <w:rPr>
                <w:sz w:val="20"/>
                <w:szCs w:val="20"/>
              </w:rPr>
            </w:pPr>
          </w:p>
        </w:tc>
      </w:tr>
    </w:tbl>
    <w:p w14:paraId="55148D1B" w14:textId="77777777" w:rsidR="00DE64DE" w:rsidRPr="00243D46" w:rsidRDefault="00DE64DE" w:rsidP="00DE64DE">
      <w:pPr>
        <w:jc w:val="both"/>
        <w:textAlignment w:val="baseline"/>
        <w:rPr>
          <w:sz w:val="26"/>
          <w:szCs w:val="26"/>
          <w:lang w:eastAsia="lv-LV"/>
        </w:rPr>
      </w:pPr>
    </w:p>
    <w:p w14:paraId="10762073" w14:textId="77777777" w:rsidR="00DE64DE" w:rsidRPr="00243D46" w:rsidRDefault="00DE64DE" w:rsidP="00DE64DE">
      <w:pPr>
        <w:jc w:val="both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proofErr w:type="spellStart"/>
      <w:r w:rsidRPr="00243D46">
        <w:rPr>
          <w:b/>
          <w:bCs/>
          <w:sz w:val="26"/>
          <w:szCs w:val="26"/>
          <w:lang w:eastAsia="lv-LV"/>
        </w:rPr>
        <w:t>Darba</w:t>
      </w:r>
      <w:proofErr w:type="spellEnd"/>
      <w:r w:rsidRPr="00243D46">
        <w:rPr>
          <w:b/>
          <w:bCs/>
          <w:sz w:val="26"/>
          <w:szCs w:val="26"/>
          <w:lang w:eastAsia="lv-LV"/>
        </w:rPr>
        <w:t xml:space="preserve"> </w:t>
      </w:r>
      <w:proofErr w:type="spellStart"/>
      <w:r w:rsidRPr="00243D46">
        <w:rPr>
          <w:b/>
          <w:bCs/>
          <w:sz w:val="26"/>
          <w:szCs w:val="26"/>
          <w:lang w:eastAsia="lv-LV"/>
        </w:rPr>
        <w:t>kārtība</w:t>
      </w:r>
      <w:proofErr w:type="spellEnd"/>
      <w:r w:rsidRPr="00243D46">
        <w:rPr>
          <w:b/>
          <w:bCs/>
          <w:sz w:val="26"/>
          <w:szCs w:val="26"/>
          <w:lang w:eastAsia="lv-LV"/>
        </w:rPr>
        <w:t>:</w:t>
      </w:r>
      <w:r w:rsidRPr="00243D46">
        <w:rPr>
          <w:sz w:val="26"/>
          <w:szCs w:val="26"/>
          <w:lang w:eastAsia="lv-LV"/>
        </w:rPr>
        <w:t>     </w:t>
      </w:r>
    </w:p>
    <w:p w14:paraId="1EC794E0" w14:textId="77777777" w:rsidR="00DE64DE" w:rsidRPr="00243D46" w:rsidRDefault="00DE64DE" w:rsidP="00DE64DE">
      <w:pPr>
        <w:numPr>
          <w:ilvl w:val="0"/>
          <w:numId w:val="1"/>
        </w:numPr>
        <w:jc w:val="both"/>
        <w:textAlignment w:val="baseline"/>
        <w:rPr>
          <w:sz w:val="26"/>
          <w:szCs w:val="26"/>
          <w:lang w:eastAsia="lv-LV"/>
        </w:rPr>
      </w:pPr>
      <w:r w:rsidRPr="00243D46">
        <w:rPr>
          <w:sz w:val="26"/>
          <w:szCs w:val="26"/>
          <w:lang w:eastAsia="lv-LV"/>
        </w:rPr>
        <w:t xml:space="preserve">Par </w:t>
      </w:r>
      <w:proofErr w:type="spellStart"/>
      <w:r w:rsidRPr="00243D46">
        <w:rPr>
          <w:sz w:val="26"/>
          <w:szCs w:val="26"/>
          <w:lang w:eastAsia="lv-LV"/>
        </w:rPr>
        <w:t>iesnieguma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izskatīšanu</w:t>
      </w:r>
      <w:proofErr w:type="spellEnd"/>
      <w:r w:rsidRPr="00243D46">
        <w:rPr>
          <w:sz w:val="26"/>
          <w:szCs w:val="26"/>
          <w:lang w:eastAsia="lv-LV"/>
        </w:rPr>
        <w:t xml:space="preserve"> un </w:t>
      </w:r>
      <w:proofErr w:type="spellStart"/>
      <w:r w:rsidRPr="00243D46">
        <w:rPr>
          <w:sz w:val="26"/>
          <w:szCs w:val="26"/>
          <w:lang w:eastAsia="lv-LV"/>
        </w:rPr>
        <w:t>pieaicināto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personu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uzklausīšanu</w:t>
      </w:r>
      <w:proofErr w:type="spellEnd"/>
      <w:r w:rsidRPr="00243D46">
        <w:rPr>
          <w:sz w:val="26"/>
          <w:szCs w:val="26"/>
          <w:lang w:eastAsia="lv-LV"/>
        </w:rPr>
        <w:t>. </w:t>
      </w:r>
    </w:p>
    <w:p w14:paraId="138E619D" w14:textId="77504598" w:rsidR="00DE64DE" w:rsidRDefault="00DE64DE" w:rsidP="00DE64DE">
      <w:pPr>
        <w:jc w:val="both"/>
        <w:textAlignment w:val="baseline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..</w:t>
      </w:r>
    </w:p>
    <w:p w14:paraId="7F0B72DA" w14:textId="77777777" w:rsidR="00DE64DE" w:rsidRPr="00243D46" w:rsidRDefault="00DE64DE" w:rsidP="00DE64DE">
      <w:pPr>
        <w:ind w:firstLine="720"/>
        <w:jc w:val="both"/>
        <w:textAlignment w:val="baseline"/>
        <w:rPr>
          <w:sz w:val="26"/>
          <w:szCs w:val="26"/>
          <w:lang w:eastAsia="lv-LV"/>
        </w:rPr>
      </w:pPr>
      <w:proofErr w:type="spellStart"/>
      <w:r w:rsidRPr="00243D46">
        <w:rPr>
          <w:sz w:val="26"/>
          <w:szCs w:val="26"/>
          <w:lang w:eastAsia="lv-LV"/>
        </w:rPr>
        <w:t>Komisijas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locekļi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secina</w:t>
      </w:r>
      <w:proofErr w:type="spellEnd"/>
      <w:r w:rsidRPr="00243D46">
        <w:rPr>
          <w:sz w:val="26"/>
          <w:szCs w:val="26"/>
          <w:lang w:eastAsia="lv-LV"/>
        </w:rPr>
        <w:t xml:space="preserve">, ka </w:t>
      </w:r>
      <w:proofErr w:type="spellStart"/>
      <w:r w:rsidRPr="00243D46">
        <w:rPr>
          <w:sz w:val="26"/>
          <w:szCs w:val="26"/>
          <w:lang w:eastAsia="lv-LV"/>
        </w:rPr>
        <w:t>gūtā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informācija</w:t>
      </w:r>
      <w:proofErr w:type="spellEnd"/>
      <w:r w:rsidRPr="00243D46">
        <w:rPr>
          <w:sz w:val="26"/>
          <w:szCs w:val="26"/>
          <w:lang w:eastAsia="lv-LV"/>
        </w:rPr>
        <w:t xml:space="preserve">, </w:t>
      </w:r>
      <w:proofErr w:type="spellStart"/>
      <w:r w:rsidRPr="00243D46">
        <w:rPr>
          <w:sz w:val="26"/>
          <w:szCs w:val="26"/>
          <w:lang w:eastAsia="lv-LV"/>
        </w:rPr>
        <w:t>iespējams</w:t>
      </w:r>
      <w:proofErr w:type="spellEnd"/>
      <w:r w:rsidRPr="00243D46">
        <w:rPr>
          <w:sz w:val="26"/>
          <w:szCs w:val="26"/>
          <w:lang w:eastAsia="lv-LV"/>
        </w:rPr>
        <w:t xml:space="preserve">, </w:t>
      </w:r>
      <w:proofErr w:type="spellStart"/>
      <w:r w:rsidRPr="00243D46">
        <w:rPr>
          <w:sz w:val="26"/>
          <w:szCs w:val="26"/>
          <w:lang w:eastAsia="lv-LV"/>
        </w:rPr>
        <w:t>liecina</w:t>
      </w:r>
      <w:proofErr w:type="spellEnd"/>
      <w:r w:rsidRPr="00243D46">
        <w:rPr>
          <w:sz w:val="26"/>
          <w:szCs w:val="26"/>
          <w:lang w:eastAsia="lv-LV"/>
        </w:rPr>
        <w:t xml:space="preserve"> par </w:t>
      </w:r>
      <w:proofErr w:type="spellStart"/>
      <w:r w:rsidRPr="00243D46">
        <w:rPr>
          <w:sz w:val="26"/>
          <w:szCs w:val="26"/>
          <w:lang w:eastAsia="lv-LV"/>
        </w:rPr>
        <w:t>labas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pārvaldības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principa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nepietiekamu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piemērošanu</w:t>
      </w:r>
      <w:proofErr w:type="spellEnd"/>
      <w:r w:rsidRPr="00243D46">
        <w:rPr>
          <w:sz w:val="26"/>
          <w:szCs w:val="26"/>
          <w:lang w:eastAsia="lv-LV"/>
        </w:rPr>
        <w:t xml:space="preserve"> - </w:t>
      </w:r>
      <w:proofErr w:type="spellStart"/>
      <w:r w:rsidRPr="00243D46">
        <w:rPr>
          <w:sz w:val="26"/>
          <w:szCs w:val="26"/>
          <w:lang w:eastAsia="lv-LV"/>
        </w:rPr>
        <w:t>organizējot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darbu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jārada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pretimnākoša</w:t>
      </w:r>
      <w:proofErr w:type="spellEnd"/>
      <w:r w:rsidRPr="00243D46">
        <w:rPr>
          <w:sz w:val="26"/>
          <w:szCs w:val="26"/>
          <w:lang w:eastAsia="lv-LV"/>
        </w:rPr>
        <w:t xml:space="preserve"> un </w:t>
      </w:r>
      <w:proofErr w:type="spellStart"/>
      <w:r w:rsidRPr="00243D46">
        <w:rPr>
          <w:sz w:val="26"/>
          <w:szCs w:val="26"/>
          <w:lang w:eastAsia="lv-LV"/>
        </w:rPr>
        <w:t>cieņpilna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attieksme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pret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ikkatru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darbinieku</w:t>
      </w:r>
      <w:proofErr w:type="spellEnd"/>
      <w:r w:rsidRPr="00243D46">
        <w:rPr>
          <w:sz w:val="26"/>
          <w:szCs w:val="26"/>
          <w:lang w:eastAsia="lv-LV"/>
        </w:rPr>
        <w:t xml:space="preserve">, </w:t>
      </w:r>
      <w:proofErr w:type="spellStart"/>
      <w:r w:rsidRPr="00243D46">
        <w:rPr>
          <w:sz w:val="26"/>
          <w:szCs w:val="26"/>
          <w:lang w:eastAsia="lv-LV"/>
        </w:rPr>
        <w:t>darba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devējam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jārīkojas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pretimnākoši</w:t>
      </w:r>
      <w:proofErr w:type="spellEnd"/>
      <w:r w:rsidRPr="00243D46">
        <w:rPr>
          <w:sz w:val="26"/>
          <w:szCs w:val="26"/>
          <w:lang w:eastAsia="lv-LV"/>
        </w:rPr>
        <w:t xml:space="preserve"> un, lai </w:t>
      </w:r>
      <w:proofErr w:type="spellStart"/>
      <w:r w:rsidRPr="00243D46">
        <w:rPr>
          <w:sz w:val="26"/>
          <w:szCs w:val="26"/>
          <w:lang w:eastAsia="lv-LV"/>
        </w:rPr>
        <w:t>gan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normatīvie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akti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tieši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nenosaka</w:t>
      </w:r>
      <w:proofErr w:type="spellEnd"/>
      <w:r w:rsidRPr="00243D46">
        <w:rPr>
          <w:sz w:val="26"/>
          <w:szCs w:val="26"/>
          <w:lang w:eastAsia="lv-LV"/>
        </w:rPr>
        <w:t xml:space="preserve">, ka </w:t>
      </w:r>
      <w:proofErr w:type="spellStart"/>
      <w:r w:rsidRPr="00243D46">
        <w:rPr>
          <w:sz w:val="26"/>
          <w:szCs w:val="26"/>
          <w:lang w:eastAsia="lv-LV"/>
        </w:rPr>
        <w:t>darba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devējam</w:t>
      </w:r>
      <w:proofErr w:type="spellEnd"/>
      <w:r w:rsidRPr="00243D46">
        <w:rPr>
          <w:sz w:val="26"/>
          <w:szCs w:val="26"/>
          <w:lang w:eastAsia="lv-LV"/>
        </w:rPr>
        <w:t> </w:t>
      </w:r>
      <w:proofErr w:type="spellStart"/>
      <w:r w:rsidRPr="00243D46">
        <w:rPr>
          <w:sz w:val="26"/>
          <w:szCs w:val="26"/>
          <w:lang w:eastAsia="lv-LV"/>
        </w:rPr>
        <w:t>obligāti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jātiekas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ar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katru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darbinieku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individuāli</w:t>
      </w:r>
      <w:proofErr w:type="spellEnd"/>
      <w:r w:rsidRPr="00243D46">
        <w:rPr>
          <w:sz w:val="26"/>
          <w:szCs w:val="26"/>
          <w:lang w:eastAsia="lv-LV"/>
        </w:rPr>
        <w:t>, </w:t>
      </w:r>
      <w:proofErr w:type="spellStart"/>
      <w:r w:rsidRPr="00243D46">
        <w:rPr>
          <w:sz w:val="26"/>
          <w:szCs w:val="26"/>
          <w:lang w:eastAsia="lv-LV"/>
        </w:rPr>
        <w:t>atteikšanās</w:t>
      </w:r>
      <w:proofErr w:type="spellEnd"/>
      <w:r w:rsidRPr="00243D46">
        <w:rPr>
          <w:sz w:val="26"/>
          <w:szCs w:val="26"/>
          <w:lang w:eastAsia="lv-LV"/>
        </w:rPr>
        <w:t xml:space="preserve"> no </w:t>
      </w:r>
      <w:proofErr w:type="spellStart"/>
      <w:r w:rsidRPr="00243D46">
        <w:rPr>
          <w:sz w:val="26"/>
          <w:szCs w:val="26"/>
          <w:lang w:eastAsia="lv-LV"/>
        </w:rPr>
        <w:t>sarunas</w:t>
      </w:r>
      <w:proofErr w:type="spellEnd"/>
      <w:r w:rsidRPr="00243D46">
        <w:rPr>
          <w:sz w:val="26"/>
          <w:szCs w:val="26"/>
          <w:lang w:eastAsia="lv-LV"/>
        </w:rPr>
        <w:t xml:space="preserve"> var </w:t>
      </w:r>
      <w:proofErr w:type="spellStart"/>
      <w:r w:rsidRPr="00243D46">
        <w:rPr>
          <w:sz w:val="26"/>
          <w:szCs w:val="26"/>
          <w:lang w:eastAsia="lv-LV"/>
        </w:rPr>
        <w:t>tikt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uzskatīta</w:t>
      </w:r>
      <w:proofErr w:type="spellEnd"/>
      <w:r w:rsidRPr="00243D46">
        <w:rPr>
          <w:sz w:val="26"/>
          <w:szCs w:val="26"/>
          <w:lang w:eastAsia="lv-LV"/>
        </w:rPr>
        <w:t xml:space="preserve"> par </w:t>
      </w:r>
      <w:proofErr w:type="spellStart"/>
      <w:r w:rsidRPr="00243D46">
        <w:rPr>
          <w:sz w:val="26"/>
          <w:szCs w:val="26"/>
          <w:lang w:eastAsia="lv-LV"/>
        </w:rPr>
        <w:t>labas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pārvaldības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principa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neievērošanu</w:t>
      </w:r>
      <w:proofErr w:type="spellEnd"/>
      <w:r w:rsidRPr="00243D46">
        <w:rPr>
          <w:sz w:val="26"/>
          <w:szCs w:val="26"/>
          <w:lang w:eastAsia="lv-LV"/>
        </w:rPr>
        <w:t xml:space="preserve">. </w:t>
      </w:r>
    </w:p>
    <w:p w14:paraId="50111CE8" w14:textId="23642F93" w:rsidR="00DE64DE" w:rsidRPr="00243D46" w:rsidRDefault="00DE64DE" w:rsidP="00DE64DE">
      <w:pPr>
        <w:jc w:val="both"/>
        <w:textAlignment w:val="baseline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..</w:t>
      </w:r>
    </w:p>
    <w:p w14:paraId="70517468" w14:textId="77777777" w:rsidR="00DE64DE" w:rsidRPr="00243D46" w:rsidRDefault="00DE64DE" w:rsidP="00DE64DE">
      <w:pPr>
        <w:jc w:val="both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proofErr w:type="spellStart"/>
      <w:r w:rsidRPr="00243D46">
        <w:rPr>
          <w:b/>
          <w:bCs/>
          <w:sz w:val="26"/>
          <w:szCs w:val="26"/>
          <w:lang w:eastAsia="lv-LV"/>
        </w:rPr>
        <w:t>Komisija</w:t>
      </w:r>
      <w:proofErr w:type="spellEnd"/>
      <w:r w:rsidRPr="00243D46">
        <w:rPr>
          <w:b/>
          <w:bCs/>
          <w:sz w:val="26"/>
          <w:szCs w:val="26"/>
          <w:lang w:eastAsia="lv-LV"/>
        </w:rPr>
        <w:t xml:space="preserve"> </w:t>
      </w:r>
      <w:proofErr w:type="spellStart"/>
      <w:r w:rsidRPr="00243D46">
        <w:rPr>
          <w:b/>
          <w:bCs/>
          <w:sz w:val="26"/>
          <w:szCs w:val="26"/>
          <w:lang w:eastAsia="lv-LV"/>
        </w:rPr>
        <w:t>nolēma</w:t>
      </w:r>
      <w:proofErr w:type="spellEnd"/>
      <w:r w:rsidRPr="00243D46">
        <w:rPr>
          <w:b/>
          <w:bCs/>
          <w:sz w:val="26"/>
          <w:szCs w:val="26"/>
          <w:lang w:eastAsia="lv-LV"/>
        </w:rPr>
        <w:t>:</w:t>
      </w:r>
      <w:r w:rsidRPr="00243D46">
        <w:rPr>
          <w:sz w:val="26"/>
          <w:szCs w:val="26"/>
          <w:lang w:eastAsia="lv-LV"/>
        </w:rPr>
        <w:t>  </w:t>
      </w:r>
    </w:p>
    <w:p w14:paraId="7FEB9C62" w14:textId="77777777" w:rsidR="00DE64DE" w:rsidRPr="00243D46" w:rsidRDefault="00DE64DE" w:rsidP="00DE64DE">
      <w:pPr>
        <w:jc w:val="both"/>
        <w:textAlignment w:val="baseline"/>
        <w:rPr>
          <w:sz w:val="26"/>
          <w:szCs w:val="26"/>
          <w:lang w:eastAsia="lv-LV"/>
        </w:rPr>
      </w:pPr>
      <w:proofErr w:type="spellStart"/>
      <w:r w:rsidRPr="00243D46">
        <w:rPr>
          <w:sz w:val="26"/>
          <w:szCs w:val="26"/>
          <w:lang w:eastAsia="lv-LV"/>
        </w:rPr>
        <w:t>Ieteikt</w:t>
      </w:r>
      <w:proofErr w:type="spellEnd"/>
      <w:r w:rsidRPr="00243D46">
        <w:rPr>
          <w:sz w:val="26"/>
          <w:szCs w:val="26"/>
          <w:lang w:eastAsia="lv-LV"/>
        </w:rPr>
        <w:t xml:space="preserve"> Rīgas </w:t>
      </w:r>
      <w:proofErr w:type="spellStart"/>
      <w:r w:rsidRPr="00243D46">
        <w:rPr>
          <w:sz w:val="26"/>
          <w:szCs w:val="26"/>
          <w:lang w:eastAsia="lv-LV"/>
        </w:rPr>
        <w:t>pilsētas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izpilddirektoram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uzaicināt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uz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sarunu</w:t>
      </w:r>
      <w:proofErr w:type="spellEnd"/>
      <w:r w:rsidRPr="00243D46">
        <w:rPr>
          <w:sz w:val="26"/>
          <w:szCs w:val="26"/>
          <w:lang w:eastAsia="lv-LV"/>
        </w:rPr>
        <w:t xml:space="preserve"> Rīgas </w:t>
      </w:r>
      <w:proofErr w:type="spellStart"/>
      <w:r w:rsidRPr="00243D46">
        <w:rPr>
          <w:sz w:val="26"/>
          <w:szCs w:val="26"/>
          <w:lang w:eastAsia="lv-LV"/>
        </w:rPr>
        <w:t>valstspilsētas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pašvaldības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Mājokļu</w:t>
      </w:r>
      <w:proofErr w:type="spellEnd"/>
      <w:r w:rsidRPr="00243D46">
        <w:rPr>
          <w:sz w:val="26"/>
          <w:szCs w:val="26"/>
          <w:lang w:eastAsia="lv-LV"/>
        </w:rPr>
        <w:t xml:space="preserve"> un vides </w:t>
      </w:r>
      <w:proofErr w:type="spellStart"/>
      <w:r w:rsidRPr="00243D46">
        <w:rPr>
          <w:sz w:val="26"/>
          <w:szCs w:val="26"/>
          <w:lang w:eastAsia="lv-LV"/>
        </w:rPr>
        <w:t>departamenta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direktora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pienākumu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izpildītāju</w:t>
      </w:r>
      <w:proofErr w:type="spellEnd"/>
      <w:r w:rsidRPr="00243D46">
        <w:rPr>
          <w:sz w:val="26"/>
          <w:szCs w:val="26"/>
          <w:lang w:eastAsia="lv-LV"/>
        </w:rPr>
        <w:t xml:space="preserve"> E. </w:t>
      </w:r>
      <w:proofErr w:type="spellStart"/>
      <w:r w:rsidRPr="00243D46">
        <w:rPr>
          <w:sz w:val="26"/>
          <w:szCs w:val="26"/>
          <w:lang w:eastAsia="lv-LV"/>
        </w:rPr>
        <w:t>Pelšu</w:t>
      </w:r>
      <w:proofErr w:type="spellEnd"/>
      <w:r w:rsidRPr="00243D46">
        <w:rPr>
          <w:sz w:val="26"/>
          <w:szCs w:val="26"/>
          <w:lang w:eastAsia="lv-LV"/>
        </w:rPr>
        <w:t xml:space="preserve"> par </w:t>
      </w:r>
      <w:proofErr w:type="spellStart"/>
      <w:r w:rsidRPr="00243D46">
        <w:rPr>
          <w:sz w:val="26"/>
          <w:szCs w:val="26"/>
          <w:lang w:eastAsia="lv-LV"/>
        </w:rPr>
        <w:t>viņa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vadības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stilu</w:t>
      </w:r>
      <w:proofErr w:type="spellEnd"/>
      <w:r w:rsidRPr="00243D46">
        <w:rPr>
          <w:sz w:val="26"/>
          <w:szCs w:val="26"/>
          <w:lang w:eastAsia="lv-LV"/>
        </w:rPr>
        <w:t xml:space="preserve"> un </w:t>
      </w:r>
      <w:proofErr w:type="spellStart"/>
      <w:r w:rsidRPr="00243D46">
        <w:rPr>
          <w:sz w:val="26"/>
          <w:szCs w:val="26"/>
          <w:lang w:eastAsia="lv-LV"/>
        </w:rPr>
        <w:t>darba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organizācijas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jautājumiem</w:t>
      </w:r>
      <w:proofErr w:type="spellEnd"/>
      <w:r w:rsidRPr="00243D46">
        <w:rPr>
          <w:sz w:val="26"/>
          <w:szCs w:val="26"/>
          <w:lang w:eastAsia="lv-LV"/>
        </w:rPr>
        <w:t>.</w:t>
      </w:r>
    </w:p>
    <w:p w14:paraId="0CDB5D4E" w14:textId="77777777" w:rsidR="00DE64DE" w:rsidRPr="00243D46" w:rsidRDefault="00DE64DE" w:rsidP="00DE64DE">
      <w:pPr>
        <w:jc w:val="both"/>
        <w:textAlignment w:val="baseline"/>
        <w:rPr>
          <w:sz w:val="26"/>
          <w:szCs w:val="26"/>
          <w:lang w:eastAsia="lv-LV"/>
        </w:rPr>
      </w:pPr>
    </w:p>
    <w:p w14:paraId="56973CFF" w14:textId="77777777" w:rsidR="00DE64DE" w:rsidRPr="00243D46" w:rsidRDefault="00DE64DE" w:rsidP="00DE64DE">
      <w:pPr>
        <w:jc w:val="both"/>
        <w:textAlignment w:val="baseline"/>
        <w:rPr>
          <w:sz w:val="26"/>
          <w:szCs w:val="26"/>
          <w:lang w:eastAsia="lv-LV"/>
        </w:rPr>
      </w:pPr>
    </w:p>
    <w:p w14:paraId="030BDD4E" w14:textId="77777777" w:rsidR="00DE64DE" w:rsidRPr="00243D46" w:rsidRDefault="00DE64DE" w:rsidP="00DE64DE">
      <w:pPr>
        <w:jc w:val="both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proofErr w:type="spellStart"/>
      <w:r w:rsidRPr="00243D46">
        <w:rPr>
          <w:sz w:val="26"/>
          <w:szCs w:val="26"/>
          <w:lang w:eastAsia="lv-LV"/>
        </w:rPr>
        <w:t>Sēde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tiek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slēgta</w:t>
      </w:r>
      <w:proofErr w:type="spellEnd"/>
      <w:r w:rsidRPr="00243D46">
        <w:rPr>
          <w:sz w:val="26"/>
          <w:szCs w:val="26"/>
          <w:lang w:eastAsia="lv-LV"/>
        </w:rPr>
        <w:t xml:space="preserve"> </w:t>
      </w:r>
      <w:proofErr w:type="spellStart"/>
      <w:r w:rsidRPr="00243D46">
        <w:rPr>
          <w:sz w:val="26"/>
          <w:szCs w:val="26"/>
          <w:lang w:eastAsia="lv-LV"/>
        </w:rPr>
        <w:t>plkst</w:t>
      </w:r>
      <w:proofErr w:type="spellEnd"/>
      <w:r w:rsidRPr="00243D46">
        <w:rPr>
          <w:sz w:val="26"/>
          <w:szCs w:val="26"/>
          <w:lang w:eastAsia="lv-LV"/>
        </w:rPr>
        <w:t>. 12.15  </w:t>
      </w:r>
    </w:p>
    <w:p w14:paraId="7935A491" w14:textId="77777777" w:rsidR="00DE64DE" w:rsidRPr="000075DA" w:rsidRDefault="00DE64DE" w:rsidP="00DE64DE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9"/>
        <w:gridCol w:w="3859"/>
      </w:tblGrid>
      <w:tr w:rsidR="00DE64DE" w14:paraId="6B56FD86" w14:textId="77777777" w:rsidTr="00D3759B">
        <w:tc>
          <w:tcPr>
            <w:tcW w:w="5778" w:type="dxa"/>
            <w:hideMark/>
          </w:tcPr>
          <w:p w14:paraId="19F74777" w14:textId="11A5B01D" w:rsidR="00DE64DE" w:rsidRPr="00CE52A7" w:rsidRDefault="00DE64DE" w:rsidP="00D3759B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CE52A7">
              <w:rPr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Pr="00CE52A7">
              <w:rPr>
                <w:sz w:val="26"/>
                <w:szCs w:val="26"/>
                <w:lang w:val="lv-LV"/>
              </w:rPr>
              <w:t>valstspilsētas</w:t>
            </w:r>
            <w:proofErr w:type="spellEnd"/>
            <w:r w:rsidRPr="00CE52A7">
              <w:rPr>
                <w:sz w:val="26"/>
                <w:szCs w:val="26"/>
                <w:lang w:val="lv-LV"/>
              </w:rPr>
              <w:t xml:space="preserve"> pašvaldības Ētikas komisijas priekšsēdētāja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CE52A7">
              <w:rPr>
                <w:sz w:val="26"/>
                <w:szCs w:val="26"/>
                <w:lang w:val="lv-LV"/>
              </w:rPr>
              <w:t xml:space="preserve">                     (</w:t>
            </w:r>
            <w:r w:rsidRPr="00CE52A7">
              <w:rPr>
                <w:sz w:val="22"/>
                <w:szCs w:val="22"/>
                <w:lang w:val="lv-LV"/>
              </w:rPr>
              <w:t>Elektroniski parakstīts</w:t>
            </w:r>
            <w:r w:rsidRPr="00CE52A7">
              <w:rPr>
                <w:sz w:val="26"/>
                <w:szCs w:val="26"/>
                <w:lang w:val="lv-LV"/>
              </w:rPr>
              <w:t xml:space="preserve">)     </w:t>
            </w:r>
          </w:p>
        </w:tc>
        <w:tc>
          <w:tcPr>
            <w:tcW w:w="3936" w:type="dxa"/>
            <w:vAlign w:val="bottom"/>
            <w:hideMark/>
          </w:tcPr>
          <w:p w14:paraId="3E7D634B" w14:textId="77777777" w:rsidR="00DE64DE" w:rsidRPr="000075DA" w:rsidRDefault="00DE64DE" w:rsidP="00D3759B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F.Frīdenberga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348F040" w14:textId="77777777" w:rsidR="00DE64DE" w:rsidRPr="000075DA" w:rsidRDefault="00DE64DE" w:rsidP="00DE64DE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DE64DE" w14:paraId="5AB72D8C" w14:textId="77777777" w:rsidTr="00D3759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20357063" w14:textId="77777777" w:rsidR="00DE64DE" w:rsidRDefault="00DE64DE" w:rsidP="00D3759B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Bormeistere</w:t>
            </w:r>
            <w:r w:rsidRPr="000075DA">
              <w:rPr>
                <w:sz w:val="22"/>
                <w:szCs w:val="22"/>
                <w:lang w:val="lv-LV"/>
              </w:rPr>
              <w:tab/>
              <w:t>67026112</w:t>
            </w:r>
          </w:p>
          <w:p w14:paraId="323379DD" w14:textId="77777777" w:rsidR="00DE64DE" w:rsidRDefault="00DE64DE" w:rsidP="00D3759B">
            <w:pPr>
              <w:rPr>
                <w:sz w:val="22"/>
                <w:szCs w:val="22"/>
                <w:lang w:val="lv-LV"/>
              </w:rPr>
            </w:pPr>
          </w:p>
          <w:p w14:paraId="7CA1D555" w14:textId="77777777" w:rsidR="00DE64DE" w:rsidRDefault="00DE64DE" w:rsidP="00D3759B">
            <w:pPr>
              <w:rPr>
                <w:sz w:val="22"/>
                <w:szCs w:val="22"/>
                <w:lang w:val="lv-LV"/>
              </w:rPr>
            </w:pPr>
          </w:p>
          <w:p w14:paraId="047B6C62" w14:textId="77777777" w:rsidR="00DE64DE" w:rsidRDefault="00DE64DE" w:rsidP="00D3759B">
            <w:pPr>
              <w:rPr>
                <w:sz w:val="22"/>
                <w:szCs w:val="22"/>
                <w:lang w:val="lv-LV"/>
              </w:rPr>
            </w:pPr>
          </w:p>
          <w:p w14:paraId="20560A2A" w14:textId="77777777" w:rsidR="00DE64DE" w:rsidRDefault="00DE64DE" w:rsidP="00DE64D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IZRAKSTS PAREIZS</w:t>
            </w:r>
          </w:p>
          <w:p w14:paraId="41329F0E" w14:textId="5ACF61E0" w:rsidR="00DE64DE" w:rsidRPr="00DE64DE" w:rsidRDefault="00DE64DE" w:rsidP="00DE64DE">
            <w:pPr>
              <w:rPr>
                <w:lang w:val="lv-LV"/>
              </w:rPr>
            </w:pPr>
            <w:r w:rsidRPr="00DE64DE">
              <w:rPr>
                <w:color w:val="000000"/>
              </w:rPr>
              <w:t xml:space="preserve">PPEK </w:t>
            </w:r>
            <w:proofErr w:type="spellStart"/>
            <w:r w:rsidRPr="00DE64DE">
              <w:rPr>
                <w:color w:val="000000"/>
              </w:rPr>
              <w:t>sekretāre</w:t>
            </w:r>
            <w:proofErr w:type="spellEnd"/>
            <w:r w:rsidRPr="00DE64DE">
              <w:rPr>
                <w:color w:val="000000"/>
              </w:rPr>
              <w:t xml:space="preserve"> I.</w:t>
            </w:r>
            <w:r>
              <w:rPr>
                <w:color w:val="000000"/>
              </w:rPr>
              <w:t xml:space="preserve"> </w:t>
            </w:r>
            <w:r w:rsidRPr="00DE64DE">
              <w:rPr>
                <w:color w:val="000000"/>
              </w:rPr>
              <w:t>Bormeistere</w:t>
            </w:r>
          </w:p>
          <w:p w14:paraId="21AC2E9F" w14:textId="77777777" w:rsidR="00DE64DE" w:rsidRPr="000075DA" w:rsidRDefault="00DE64DE" w:rsidP="00D3759B">
            <w:pPr>
              <w:rPr>
                <w:sz w:val="22"/>
                <w:szCs w:val="22"/>
                <w:lang w:val="lv-LV"/>
              </w:rPr>
            </w:pPr>
          </w:p>
          <w:p w14:paraId="3D255518" w14:textId="77777777" w:rsidR="00DE64DE" w:rsidRPr="000075DA" w:rsidRDefault="00DE64DE" w:rsidP="00D3759B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14:paraId="5C3E3D01" w14:textId="77777777" w:rsidR="00DE64DE" w:rsidRPr="000075DA" w:rsidRDefault="00DE64DE" w:rsidP="00D3759B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405B3A10" w14:textId="77777777" w:rsidR="00DE64DE" w:rsidRPr="000075DA" w:rsidRDefault="00DE64DE" w:rsidP="00DE64DE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14:paraId="06CF485D" w14:textId="77777777" w:rsidR="00DE64DE" w:rsidRPr="000075DA" w:rsidRDefault="00DE64DE" w:rsidP="00DE64DE">
      <w:pPr>
        <w:rPr>
          <w:sz w:val="16"/>
          <w:szCs w:val="16"/>
          <w:lang w:val="lv-LV"/>
        </w:rPr>
      </w:pPr>
    </w:p>
    <w:p w14:paraId="52EE435B" w14:textId="77777777" w:rsidR="008C193A" w:rsidRDefault="008C193A"/>
    <w:sectPr w:rsidR="008C193A" w:rsidSect="00DE64DE">
      <w:headerReference w:type="even" r:id="rId9"/>
      <w:headerReference w:type="default" r:id="rId10"/>
      <w:headerReference w:type="first" r:id="rId11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AE0A" w14:textId="77777777" w:rsidR="00EC2615" w:rsidRDefault="00EC2615" w:rsidP="00DE64DE">
      <w:r>
        <w:separator/>
      </w:r>
    </w:p>
  </w:endnote>
  <w:endnote w:type="continuationSeparator" w:id="0">
    <w:p w14:paraId="1FF61B65" w14:textId="77777777" w:rsidR="00EC2615" w:rsidRDefault="00EC2615" w:rsidP="00DE64DE">
      <w:r>
        <w:continuationSeparator/>
      </w:r>
    </w:p>
  </w:endnote>
  <w:endnote w:type="continuationNotice" w:id="1">
    <w:p w14:paraId="09CFBE3D" w14:textId="77777777" w:rsidR="00EC2615" w:rsidRDefault="00EC2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206030504050203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619A" w14:textId="77777777" w:rsidR="00EC2615" w:rsidRDefault="00EC2615" w:rsidP="00DE64DE">
      <w:r>
        <w:separator/>
      </w:r>
    </w:p>
  </w:footnote>
  <w:footnote w:type="continuationSeparator" w:id="0">
    <w:p w14:paraId="28024754" w14:textId="77777777" w:rsidR="00EC2615" w:rsidRDefault="00EC2615" w:rsidP="00DE64DE">
      <w:r>
        <w:continuationSeparator/>
      </w:r>
    </w:p>
  </w:footnote>
  <w:footnote w:type="continuationNotice" w:id="1">
    <w:p w14:paraId="49809700" w14:textId="77777777" w:rsidR="00EC2615" w:rsidRDefault="00EC2615"/>
  </w:footnote>
  <w:footnote w:id="2">
    <w:p w14:paraId="5917D560" w14:textId="77777777" w:rsidR="00DE64DE" w:rsidRDefault="00DE64DE" w:rsidP="00DE64DE">
      <w:pPr>
        <w:pStyle w:val="Vresteksts"/>
      </w:pPr>
      <w:r>
        <w:rPr>
          <w:rStyle w:val="Vresatsauce"/>
        </w:rPr>
        <w:footnoteRef/>
      </w:r>
      <w:r>
        <w:t xml:space="preserve"> Apstiprināts ar Rīgas domes priekšsēdētāja 23.01.2023. rīkojumu Nr. RD-23-6-r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D74A" w14:textId="77777777" w:rsidR="00DE64DE" w:rsidRDefault="00DE64DE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</w:rPr>
      <w:fldChar w:fldCharType="end"/>
    </w:r>
  </w:p>
  <w:p w14:paraId="403ADF37" w14:textId="77777777" w:rsidR="00DE64DE" w:rsidRDefault="00DE64D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A313" w14:textId="77777777" w:rsidR="00DE64DE" w:rsidRDefault="00DE64DE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  <w:noProof/>
      </w:rPr>
      <w:t>2</w:t>
    </w:r>
    <w:r>
      <w:rPr>
        <w:rStyle w:val="Lappusesnumurs"/>
        <w:rFonts w:eastAsiaTheme="majorEastAsia"/>
      </w:rPr>
      <w:fldChar w:fldCharType="end"/>
    </w:r>
  </w:p>
  <w:p w14:paraId="66E5E5C5" w14:textId="77777777" w:rsidR="00DE64DE" w:rsidRDefault="00DE64DE" w:rsidP="00142D3C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BDC4" w14:textId="13EF88FF" w:rsidR="00DE64DE" w:rsidRPr="00DE64DE" w:rsidRDefault="00DE64DE" w:rsidP="00DE64DE">
    <w:pPr>
      <w:pStyle w:val="Galvene"/>
      <w:jc w:val="right"/>
      <w:rPr>
        <w:b/>
        <w:bCs/>
        <w:lang w:val="lv-LV"/>
      </w:rPr>
    </w:pPr>
    <w:r w:rsidRPr="00DE64DE">
      <w:rPr>
        <w:b/>
        <w:bCs/>
        <w:lang w:val="lv-LV"/>
      </w:rPr>
      <w:t>IZRAKSTS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C1913"/>
    <w:multiLevelType w:val="hybridMultilevel"/>
    <w:tmpl w:val="1618F49A"/>
    <w:lvl w:ilvl="0" w:tplc="90FA5B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3AD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AB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E1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A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42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EA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E3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2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36FC8"/>
    <w:multiLevelType w:val="hybridMultilevel"/>
    <w:tmpl w:val="8374A198"/>
    <w:lvl w:ilvl="0" w:tplc="77FA35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DD6457C" w:tentative="1">
      <w:start w:val="1"/>
      <w:numFmt w:val="lowerLetter"/>
      <w:lvlText w:val="%2."/>
      <w:lvlJc w:val="left"/>
      <w:pPr>
        <w:ind w:left="1800" w:hanging="360"/>
      </w:pPr>
    </w:lvl>
    <w:lvl w:ilvl="2" w:tplc="383EF144" w:tentative="1">
      <w:start w:val="1"/>
      <w:numFmt w:val="lowerRoman"/>
      <w:lvlText w:val="%3."/>
      <w:lvlJc w:val="right"/>
      <w:pPr>
        <w:ind w:left="2520" w:hanging="180"/>
      </w:pPr>
    </w:lvl>
    <w:lvl w:ilvl="3" w:tplc="68D8C180" w:tentative="1">
      <w:start w:val="1"/>
      <w:numFmt w:val="decimal"/>
      <w:lvlText w:val="%4."/>
      <w:lvlJc w:val="left"/>
      <w:pPr>
        <w:ind w:left="3240" w:hanging="360"/>
      </w:pPr>
    </w:lvl>
    <w:lvl w:ilvl="4" w:tplc="F15AC364" w:tentative="1">
      <w:start w:val="1"/>
      <w:numFmt w:val="lowerLetter"/>
      <w:lvlText w:val="%5."/>
      <w:lvlJc w:val="left"/>
      <w:pPr>
        <w:ind w:left="3960" w:hanging="360"/>
      </w:pPr>
    </w:lvl>
    <w:lvl w:ilvl="5" w:tplc="741A8FF8" w:tentative="1">
      <w:start w:val="1"/>
      <w:numFmt w:val="lowerRoman"/>
      <w:lvlText w:val="%6."/>
      <w:lvlJc w:val="right"/>
      <w:pPr>
        <w:ind w:left="4680" w:hanging="180"/>
      </w:pPr>
    </w:lvl>
    <w:lvl w:ilvl="6" w:tplc="A4CA5CB2" w:tentative="1">
      <w:start w:val="1"/>
      <w:numFmt w:val="decimal"/>
      <w:lvlText w:val="%7."/>
      <w:lvlJc w:val="left"/>
      <w:pPr>
        <w:ind w:left="5400" w:hanging="360"/>
      </w:pPr>
    </w:lvl>
    <w:lvl w:ilvl="7" w:tplc="B4DAC624" w:tentative="1">
      <w:start w:val="1"/>
      <w:numFmt w:val="lowerLetter"/>
      <w:lvlText w:val="%8."/>
      <w:lvlJc w:val="left"/>
      <w:pPr>
        <w:ind w:left="6120" w:hanging="360"/>
      </w:pPr>
    </w:lvl>
    <w:lvl w:ilvl="8" w:tplc="0680D04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0917547">
    <w:abstractNumId w:val="0"/>
  </w:num>
  <w:num w:numId="2" w16cid:durableId="85179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DE"/>
    <w:rsid w:val="0013637A"/>
    <w:rsid w:val="002F56A2"/>
    <w:rsid w:val="007E231F"/>
    <w:rsid w:val="008C193A"/>
    <w:rsid w:val="00B74A49"/>
    <w:rsid w:val="00C63ABC"/>
    <w:rsid w:val="00CA1CD5"/>
    <w:rsid w:val="00CE52A7"/>
    <w:rsid w:val="00DE64DE"/>
    <w:rsid w:val="00E3195E"/>
    <w:rsid w:val="00E3732E"/>
    <w:rsid w:val="00EA09B4"/>
    <w:rsid w:val="00EC2615"/>
    <w:rsid w:val="32CBC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FA902"/>
  <w15:chartTrackingRefBased/>
  <w15:docId w15:val="{4DF1BD37-2F73-4D3D-942B-0CFDD476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64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E6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E6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E64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E64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E64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E64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E64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E64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E64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E6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E6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E6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E64D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E64DE"/>
    <w:rPr>
      <w:rFonts w:eastAsiaTheme="majorEastAsia" w:cstheme="majorBidi"/>
      <w:color w:val="0F4761" w:themeColor="accent1" w:themeShade="BF"/>
      <w:sz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E64D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E64DE"/>
    <w:rPr>
      <w:rFonts w:eastAsiaTheme="majorEastAsia" w:cstheme="majorBidi"/>
      <w:color w:val="595959" w:themeColor="text1" w:themeTint="A6"/>
      <w:sz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E64D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E64DE"/>
    <w:rPr>
      <w:rFonts w:eastAsiaTheme="majorEastAsia" w:cstheme="majorBidi"/>
      <w:color w:val="272727" w:themeColor="text1" w:themeTint="D8"/>
      <w:sz w:val="24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E6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E6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E64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E6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E64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E64DE"/>
    <w:rPr>
      <w:rFonts w:ascii="Times New Roman" w:hAnsi="Times New Roman"/>
      <w:i/>
      <w:iCs/>
      <w:color w:val="404040" w:themeColor="text1" w:themeTint="BF"/>
      <w:sz w:val="24"/>
    </w:rPr>
  </w:style>
  <w:style w:type="paragraph" w:styleId="Sarakstarindkopa">
    <w:name w:val="List Paragraph"/>
    <w:basedOn w:val="Parasts"/>
    <w:uiPriority w:val="34"/>
    <w:qFormat/>
    <w:rsid w:val="00DE64D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E64D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E6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E64DE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vaatsauce">
    <w:name w:val="Intense Reference"/>
    <w:basedOn w:val="Noklusjumarindkopasfonts"/>
    <w:uiPriority w:val="32"/>
    <w:qFormat/>
    <w:rsid w:val="00DE64DE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rsid w:val="00DE64D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DE64D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Lappusesnumurs">
    <w:name w:val="page number"/>
    <w:basedOn w:val="Noklusjumarindkopasfonts"/>
    <w:rsid w:val="00DE64DE"/>
  </w:style>
  <w:style w:type="paragraph" w:styleId="Vresteksts">
    <w:name w:val="footnote text"/>
    <w:basedOn w:val="Parasts"/>
    <w:link w:val="VrestekstsRakstz"/>
    <w:uiPriority w:val="99"/>
    <w:unhideWhenUsed/>
    <w:rsid w:val="00DE64DE"/>
    <w:rPr>
      <w:rFonts w:eastAsia="Aptos" w:cs="Arial"/>
      <w:kern w:val="2"/>
      <w:sz w:val="20"/>
      <w:szCs w:val="20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DE64DE"/>
    <w:rPr>
      <w:rFonts w:ascii="Times New Roman" w:eastAsia="Aptos" w:hAnsi="Times New Roman" w:cs="Arial"/>
      <w:sz w:val="20"/>
      <w:szCs w:val="20"/>
      <w14:ligatures w14:val="none"/>
    </w:rPr>
  </w:style>
  <w:style w:type="character" w:styleId="Vresatsauce">
    <w:name w:val="footnote reference"/>
    <w:uiPriority w:val="99"/>
    <w:unhideWhenUsed/>
    <w:rsid w:val="00DE64DE"/>
    <w:rPr>
      <w:vertAlign w:val="superscript"/>
    </w:rPr>
  </w:style>
  <w:style w:type="paragraph" w:styleId="Kjene">
    <w:name w:val="footer"/>
    <w:basedOn w:val="Parasts"/>
    <w:link w:val="KjeneRakstz"/>
    <w:uiPriority w:val="99"/>
    <w:unhideWhenUsed/>
    <w:rsid w:val="00DE64D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E64D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aststmeklis">
    <w:name w:val="Normal (Web)"/>
    <w:basedOn w:val="Parasts"/>
    <w:uiPriority w:val="99"/>
    <w:semiHidden/>
    <w:unhideWhenUsed/>
    <w:rsid w:val="00DE64DE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6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Ilze.Bormeistere\AppData\Local\Microsoft\Windows\INetCache\Content.Outlook\AppData\Local%20Settings\Temp\Local%20Settings\Temp\1\Local%20Settings\Temp\2\Local%20Settings\Temp\2\Local%20Settings\Daiga.Culkstena\Gunita.Cipure\Gunita.Cipure\RDLIS\Rigas_gerbonis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2235</Words>
  <Characters>1274</Characters>
  <Application>Microsoft Office Word</Application>
  <DocSecurity>0</DocSecurity>
  <Lines>10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Bormeistere</dc:creator>
  <cp:keywords/>
  <dc:description/>
  <cp:lastModifiedBy>Ilze Bormeistere</cp:lastModifiedBy>
  <cp:revision>2</cp:revision>
  <dcterms:created xsi:type="dcterms:W3CDTF">2025-10-06T05:56:00Z</dcterms:created>
  <dcterms:modified xsi:type="dcterms:W3CDTF">2025-10-06T06:16:00Z</dcterms:modified>
</cp:coreProperties>
</file>