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75A3" w14:textId="77777777" w:rsidR="007D2030" w:rsidRPr="00965DE1" w:rsidRDefault="007D2030" w:rsidP="007D2030">
      <w:pPr>
        <w:spacing w:after="0"/>
        <w:jc w:val="center"/>
        <w:rPr>
          <w:rFonts w:ascii="Times New Roman" w:hAnsi="Times New Roman" w:cs="Times New Roman"/>
          <w:b/>
          <w:sz w:val="26"/>
          <w:szCs w:val="26"/>
        </w:rPr>
      </w:pPr>
      <w:r w:rsidRPr="00965DE1">
        <w:rPr>
          <w:rFonts w:ascii="Times New Roman" w:hAnsi="Times New Roman" w:cs="Times New Roman"/>
          <w:b/>
          <w:sz w:val="26"/>
          <w:szCs w:val="26"/>
        </w:rPr>
        <w:t xml:space="preserve">Paskaidrojuma raksts </w:t>
      </w:r>
    </w:p>
    <w:p w14:paraId="0E79B45A" w14:textId="77777777" w:rsidR="007D2030" w:rsidRDefault="007D2030" w:rsidP="007D2030">
      <w:pPr>
        <w:spacing w:after="0"/>
        <w:jc w:val="center"/>
        <w:rPr>
          <w:rFonts w:ascii="Times New Roman" w:hAnsi="Times New Roman" w:cs="Times New Roman"/>
          <w:b/>
          <w:bCs/>
          <w:sz w:val="26"/>
          <w:szCs w:val="26"/>
        </w:rPr>
      </w:pPr>
      <w:r w:rsidRPr="00965DE1">
        <w:rPr>
          <w:rFonts w:ascii="Times New Roman" w:hAnsi="Times New Roman" w:cs="Times New Roman"/>
          <w:b/>
          <w:bCs/>
          <w:sz w:val="26"/>
          <w:szCs w:val="26"/>
        </w:rPr>
        <w:t>Rīgas domes saistošajiem noteikumiem</w:t>
      </w:r>
    </w:p>
    <w:p w14:paraId="6E0894C5" w14:textId="77777777" w:rsidR="007D2030" w:rsidRDefault="007D2030" w:rsidP="007D2030">
      <w:pPr>
        <w:spacing w:after="0"/>
        <w:jc w:val="center"/>
        <w:rPr>
          <w:rFonts w:ascii="Times New Roman" w:hAnsi="Times New Roman" w:cs="Times New Roman"/>
          <w:b/>
          <w:bCs/>
          <w:sz w:val="26"/>
          <w:szCs w:val="26"/>
        </w:rPr>
      </w:pPr>
    </w:p>
    <w:p w14:paraId="4442B796" w14:textId="284C406B" w:rsidR="00464AA1" w:rsidRPr="007D2030" w:rsidRDefault="007D2030" w:rsidP="007D2030">
      <w:pPr>
        <w:jc w:val="center"/>
        <w:rPr>
          <w:rFonts w:ascii="Times New Roman" w:hAnsi="Times New Roman" w:cs="Times New Roman"/>
          <w:b/>
          <w:bCs/>
          <w:sz w:val="26"/>
          <w:szCs w:val="26"/>
        </w:rPr>
      </w:pPr>
      <w:r w:rsidRPr="00D84762">
        <w:rPr>
          <w:rFonts w:ascii="Times New Roman" w:hAnsi="Times New Roman" w:cs="Times New Roman"/>
          <w:b/>
          <w:bCs/>
          <w:sz w:val="26"/>
          <w:szCs w:val="26"/>
        </w:rPr>
        <w:t>Grozījum</w:t>
      </w:r>
      <w:r>
        <w:rPr>
          <w:rFonts w:ascii="Times New Roman" w:hAnsi="Times New Roman" w:cs="Times New Roman"/>
          <w:b/>
          <w:bCs/>
          <w:sz w:val="26"/>
          <w:szCs w:val="26"/>
        </w:rPr>
        <w:t>s</w:t>
      </w:r>
      <w:r w:rsidRPr="00D84762">
        <w:rPr>
          <w:rFonts w:ascii="Times New Roman" w:hAnsi="Times New Roman" w:cs="Times New Roman"/>
          <w:b/>
          <w:bCs/>
          <w:sz w:val="26"/>
          <w:szCs w:val="26"/>
        </w:rPr>
        <w:t xml:space="preserve"> Rīgas domes 202</w:t>
      </w:r>
      <w:r>
        <w:rPr>
          <w:rFonts w:ascii="Times New Roman" w:hAnsi="Times New Roman" w:cs="Times New Roman"/>
          <w:b/>
          <w:bCs/>
          <w:sz w:val="26"/>
          <w:szCs w:val="26"/>
        </w:rPr>
        <w:t>5</w:t>
      </w:r>
      <w:r w:rsidRPr="00D84762">
        <w:rPr>
          <w:rFonts w:ascii="Times New Roman" w:hAnsi="Times New Roman" w:cs="Times New Roman"/>
          <w:b/>
          <w:bCs/>
          <w:sz w:val="26"/>
          <w:szCs w:val="26"/>
        </w:rPr>
        <w:t>.</w:t>
      </w:r>
      <w:r>
        <w:rPr>
          <w:rFonts w:ascii="Times New Roman" w:hAnsi="Times New Roman" w:cs="Times New Roman"/>
          <w:b/>
          <w:bCs/>
          <w:sz w:val="26"/>
          <w:szCs w:val="26"/>
        </w:rPr>
        <w:t> </w:t>
      </w:r>
      <w:r w:rsidRPr="00D84762">
        <w:rPr>
          <w:rFonts w:ascii="Times New Roman" w:hAnsi="Times New Roman" w:cs="Times New Roman"/>
          <w:b/>
          <w:bCs/>
          <w:sz w:val="26"/>
          <w:szCs w:val="26"/>
        </w:rPr>
        <w:t xml:space="preserve">gada </w:t>
      </w:r>
      <w:r>
        <w:rPr>
          <w:rFonts w:ascii="Times New Roman" w:hAnsi="Times New Roman" w:cs="Times New Roman"/>
          <w:b/>
          <w:bCs/>
          <w:sz w:val="26"/>
          <w:szCs w:val="26"/>
        </w:rPr>
        <w:t>26</w:t>
      </w:r>
      <w:r w:rsidRPr="00D84762">
        <w:rPr>
          <w:rFonts w:ascii="Times New Roman" w:hAnsi="Times New Roman" w:cs="Times New Roman"/>
          <w:b/>
          <w:bCs/>
          <w:sz w:val="26"/>
          <w:szCs w:val="26"/>
        </w:rPr>
        <w:t>.</w:t>
      </w:r>
      <w:r>
        <w:rPr>
          <w:rFonts w:ascii="Times New Roman" w:hAnsi="Times New Roman" w:cs="Times New Roman"/>
          <w:b/>
          <w:bCs/>
          <w:sz w:val="26"/>
          <w:szCs w:val="26"/>
        </w:rPr>
        <w:t> marta</w:t>
      </w:r>
      <w:r w:rsidRPr="00D84762">
        <w:rPr>
          <w:rFonts w:ascii="Times New Roman" w:hAnsi="Times New Roman" w:cs="Times New Roman"/>
          <w:b/>
          <w:bCs/>
          <w:sz w:val="26"/>
          <w:szCs w:val="26"/>
        </w:rPr>
        <w:t xml:space="preserve"> saistošajos noteikumos </w:t>
      </w:r>
      <w:r>
        <w:rPr>
          <w:rFonts w:ascii="Times New Roman" w:hAnsi="Times New Roman" w:cs="Times New Roman"/>
          <w:b/>
          <w:bCs/>
          <w:sz w:val="26"/>
          <w:szCs w:val="26"/>
        </w:rPr>
        <w:br/>
      </w:r>
      <w:r w:rsidRPr="00D84762">
        <w:rPr>
          <w:rFonts w:ascii="Times New Roman" w:hAnsi="Times New Roman" w:cs="Times New Roman"/>
          <w:b/>
          <w:bCs/>
          <w:sz w:val="26"/>
          <w:szCs w:val="26"/>
        </w:rPr>
        <w:t>Nr.</w:t>
      </w:r>
      <w:r>
        <w:rPr>
          <w:rFonts w:ascii="Times New Roman" w:hAnsi="Times New Roman" w:cs="Times New Roman"/>
          <w:b/>
          <w:bCs/>
          <w:sz w:val="26"/>
          <w:szCs w:val="26"/>
        </w:rPr>
        <w:t> </w:t>
      </w:r>
      <w:r w:rsidRPr="00D84762">
        <w:rPr>
          <w:rFonts w:ascii="Times New Roman" w:hAnsi="Times New Roman" w:cs="Times New Roman"/>
          <w:b/>
          <w:bCs/>
          <w:sz w:val="26"/>
          <w:szCs w:val="26"/>
        </w:rPr>
        <w:t>RD-2</w:t>
      </w:r>
      <w:r>
        <w:rPr>
          <w:rFonts w:ascii="Times New Roman" w:hAnsi="Times New Roman" w:cs="Times New Roman"/>
          <w:b/>
          <w:bCs/>
          <w:sz w:val="26"/>
          <w:szCs w:val="26"/>
        </w:rPr>
        <w:t>5</w:t>
      </w:r>
      <w:r w:rsidRPr="00D84762">
        <w:rPr>
          <w:rFonts w:ascii="Times New Roman" w:hAnsi="Times New Roman" w:cs="Times New Roman"/>
          <w:b/>
          <w:bCs/>
          <w:sz w:val="26"/>
          <w:szCs w:val="26"/>
        </w:rPr>
        <w:t>-</w:t>
      </w:r>
      <w:r>
        <w:rPr>
          <w:rFonts w:ascii="Times New Roman" w:hAnsi="Times New Roman" w:cs="Times New Roman"/>
          <w:b/>
          <w:bCs/>
          <w:sz w:val="26"/>
          <w:szCs w:val="26"/>
        </w:rPr>
        <w:t>327</w:t>
      </w:r>
      <w:r w:rsidRPr="00D84762">
        <w:rPr>
          <w:rFonts w:ascii="Times New Roman" w:hAnsi="Times New Roman" w:cs="Times New Roman"/>
          <w:b/>
          <w:bCs/>
          <w:sz w:val="26"/>
          <w:szCs w:val="26"/>
        </w:rPr>
        <w:t>-sn “</w:t>
      </w:r>
      <w:r w:rsidRPr="007D2030">
        <w:rPr>
          <w:rFonts w:ascii="Times New Roman" w:hAnsi="Times New Roman" w:cs="Times New Roman"/>
          <w:b/>
          <w:bCs/>
          <w:sz w:val="26"/>
          <w:szCs w:val="26"/>
        </w:rPr>
        <w:t>Par praktiskajām apmācībām vēsturisku ēku koka elementu restaurācijā</w:t>
      </w:r>
      <w:r>
        <w:rPr>
          <w:rFonts w:ascii="Times New Roman" w:hAnsi="Times New Roman" w:cs="Times New Roman"/>
          <w:b/>
          <w:bCs/>
          <w:sz w:val="26"/>
          <w:szCs w:val="26"/>
        </w:rPr>
        <w:t>”</w:t>
      </w:r>
    </w:p>
    <w:p w14:paraId="5702ABE6" w14:textId="77777777" w:rsidR="00DF23DD" w:rsidRPr="00DF23DD" w:rsidRDefault="00DF23DD" w:rsidP="00DF23DD">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9634" w:type="dxa"/>
        <w:tblLook w:val="04A0" w:firstRow="1" w:lastRow="0" w:firstColumn="1" w:lastColumn="0" w:noHBand="0" w:noVBand="1"/>
      </w:tblPr>
      <w:tblGrid>
        <w:gridCol w:w="9634"/>
      </w:tblGrid>
      <w:tr w:rsidR="00E36152" w14:paraId="321D0289" w14:textId="77777777" w:rsidTr="00DF23DD">
        <w:trPr>
          <w:trHeight w:val="654"/>
        </w:trPr>
        <w:tc>
          <w:tcPr>
            <w:tcW w:w="9634" w:type="dxa"/>
          </w:tcPr>
          <w:p w14:paraId="4049E7E4" w14:textId="3DB28C1F" w:rsidR="007752F6" w:rsidRPr="00DF23DD" w:rsidRDefault="00B20753"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21BD7146" w14:textId="3DB80823" w:rsidR="00575BD8" w:rsidRPr="00DF23DD" w:rsidRDefault="00B20753" w:rsidP="00575BD8">
            <w:pPr>
              <w:shd w:val="clear" w:color="auto" w:fill="FFFFFF"/>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Saskaņā ar Pašvaldību likuma 44. panta otro daļu dome var izdot saistošos noteikumus, lai nodrošinātu pašvaldības autonomo funkciju un brīvprātīgo iniciatīvu izpildi, ievērojot likumos vai Ministru kabineta noteikumos paredzēto funkciju izpildes kārtību.</w:t>
            </w:r>
            <w:r w:rsidR="000B644B" w:rsidRPr="00DF23DD">
              <w:rPr>
                <w:rFonts w:ascii="Times New Roman" w:eastAsia="Times New Roman" w:hAnsi="Times New Roman" w:cs="Times New Roman"/>
                <w:color w:val="000000" w:themeColor="text1"/>
                <w:sz w:val="26"/>
                <w:szCs w:val="26"/>
                <w:lang w:eastAsia="lv-LV"/>
              </w:rPr>
              <w:t xml:space="preserve"> </w:t>
            </w:r>
          </w:p>
          <w:p w14:paraId="50171977" w14:textId="523D4C86" w:rsidR="0027235C" w:rsidRDefault="0027235C" w:rsidP="003725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Respektējot Rīgas vēsturisko ēku īpašnieku viedokļus, ar saistošajiem noteikumiem tiek </w:t>
            </w:r>
            <w:r w:rsidR="005B2A8F">
              <w:rPr>
                <w:rFonts w:ascii="Times New Roman" w:eastAsia="Times New Roman" w:hAnsi="Times New Roman" w:cs="Times New Roman"/>
                <w:color w:val="000000" w:themeColor="text1"/>
                <w:sz w:val="26"/>
                <w:szCs w:val="26"/>
                <w:lang w:eastAsia="lv-LV"/>
              </w:rPr>
              <w:t>paplašināts</w:t>
            </w:r>
            <w:r>
              <w:rPr>
                <w:rFonts w:ascii="Times New Roman" w:eastAsia="Times New Roman" w:hAnsi="Times New Roman" w:cs="Times New Roman"/>
                <w:color w:val="000000" w:themeColor="text1"/>
                <w:sz w:val="26"/>
                <w:szCs w:val="26"/>
                <w:lang w:eastAsia="lv-LV"/>
              </w:rPr>
              <w:t xml:space="preserve"> </w:t>
            </w:r>
            <w:r w:rsidRPr="0027235C">
              <w:rPr>
                <w:rFonts w:ascii="Times New Roman" w:eastAsia="Times New Roman" w:hAnsi="Times New Roman" w:cs="Times New Roman"/>
                <w:color w:val="000000" w:themeColor="text1"/>
                <w:sz w:val="26"/>
                <w:szCs w:val="26"/>
                <w:lang w:eastAsia="lv-LV"/>
              </w:rPr>
              <w:t>praktisk</w:t>
            </w:r>
            <w:r>
              <w:rPr>
                <w:rFonts w:ascii="Times New Roman" w:eastAsia="Times New Roman" w:hAnsi="Times New Roman" w:cs="Times New Roman"/>
                <w:color w:val="000000" w:themeColor="text1"/>
                <w:sz w:val="26"/>
                <w:szCs w:val="26"/>
                <w:lang w:eastAsia="lv-LV"/>
              </w:rPr>
              <w:t>o</w:t>
            </w:r>
            <w:r w:rsidRPr="0027235C">
              <w:rPr>
                <w:rFonts w:ascii="Times New Roman" w:eastAsia="Times New Roman" w:hAnsi="Times New Roman" w:cs="Times New Roman"/>
                <w:color w:val="000000" w:themeColor="text1"/>
                <w:sz w:val="26"/>
                <w:szCs w:val="26"/>
                <w:lang w:eastAsia="lv-LV"/>
              </w:rPr>
              <w:t xml:space="preserve"> apmācīb</w:t>
            </w:r>
            <w:r>
              <w:rPr>
                <w:rFonts w:ascii="Times New Roman" w:eastAsia="Times New Roman" w:hAnsi="Times New Roman" w:cs="Times New Roman"/>
                <w:color w:val="000000" w:themeColor="text1"/>
                <w:sz w:val="26"/>
                <w:szCs w:val="26"/>
                <w:lang w:eastAsia="lv-LV"/>
              </w:rPr>
              <w:t>u</w:t>
            </w:r>
            <w:r w:rsidRPr="0027235C">
              <w:rPr>
                <w:rFonts w:ascii="Times New Roman" w:eastAsia="Times New Roman" w:hAnsi="Times New Roman" w:cs="Times New Roman"/>
                <w:color w:val="000000" w:themeColor="text1"/>
                <w:sz w:val="26"/>
                <w:szCs w:val="26"/>
                <w:lang w:eastAsia="lv-LV"/>
              </w:rPr>
              <w:t xml:space="preserve"> vēsturisku ēku koka elementu restaurācijā</w:t>
            </w:r>
            <w:r>
              <w:rPr>
                <w:rFonts w:ascii="Times New Roman" w:eastAsia="Times New Roman" w:hAnsi="Times New Roman" w:cs="Times New Roman"/>
                <w:color w:val="000000" w:themeColor="text1"/>
                <w:sz w:val="26"/>
                <w:szCs w:val="26"/>
                <w:lang w:eastAsia="lv-LV"/>
              </w:rPr>
              <w:t xml:space="preserve"> pretendentu loks. Turpmāk pretendēt uz dalību apmācībās būs iespējams ne vien</w:t>
            </w:r>
            <w:r w:rsidR="00EA0C97">
              <w:rPr>
                <w:rFonts w:ascii="Times New Roman" w:eastAsia="Times New Roman" w:hAnsi="Times New Roman" w:cs="Times New Roman"/>
                <w:color w:val="000000" w:themeColor="text1"/>
                <w:sz w:val="26"/>
                <w:szCs w:val="26"/>
                <w:lang w:eastAsia="lv-LV"/>
              </w:rPr>
              <w:t xml:space="preserve"> vēsturisko ēku īpašniekiem, bet arī to tuviem ģimenes locekļiem - </w:t>
            </w:r>
            <w:r w:rsidR="00EA0C97" w:rsidRPr="00EA0C97">
              <w:rPr>
                <w:rFonts w:ascii="Times New Roman" w:eastAsia="Times New Roman" w:hAnsi="Times New Roman" w:cs="Times New Roman"/>
                <w:color w:val="000000" w:themeColor="text1"/>
                <w:sz w:val="26"/>
                <w:szCs w:val="26"/>
                <w:lang w:eastAsia="lv-LV"/>
              </w:rPr>
              <w:t>laulāta</w:t>
            </w:r>
            <w:r w:rsidR="00EA0C97">
              <w:rPr>
                <w:rFonts w:ascii="Times New Roman" w:eastAsia="Times New Roman" w:hAnsi="Times New Roman" w:cs="Times New Roman"/>
                <w:color w:val="000000" w:themeColor="text1"/>
                <w:sz w:val="26"/>
                <w:szCs w:val="26"/>
                <w:lang w:eastAsia="lv-LV"/>
              </w:rPr>
              <w:t>jiem</w:t>
            </w:r>
            <w:r w:rsidR="00EA0C97" w:rsidRPr="00EA0C97">
              <w:rPr>
                <w:rFonts w:ascii="Times New Roman" w:eastAsia="Times New Roman" w:hAnsi="Times New Roman" w:cs="Times New Roman"/>
                <w:color w:val="000000" w:themeColor="text1"/>
                <w:sz w:val="26"/>
                <w:szCs w:val="26"/>
                <w:lang w:eastAsia="lv-LV"/>
              </w:rPr>
              <w:t>, partneri</w:t>
            </w:r>
            <w:r w:rsidR="00EA0C97">
              <w:rPr>
                <w:rFonts w:ascii="Times New Roman" w:eastAsia="Times New Roman" w:hAnsi="Times New Roman" w:cs="Times New Roman"/>
                <w:color w:val="000000" w:themeColor="text1"/>
                <w:sz w:val="26"/>
                <w:szCs w:val="26"/>
                <w:lang w:eastAsia="lv-LV"/>
              </w:rPr>
              <w:t>em</w:t>
            </w:r>
            <w:r w:rsidR="00EA0C97" w:rsidRPr="00EA0C97">
              <w:rPr>
                <w:rFonts w:ascii="Times New Roman" w:eastAsia="Times New Roman" w:hAnsi="Times New Roman" w:cs="Times New Roman"/>
                <w:color w:val="000000" w:themeColor="text1"/>
                <w:sz w:val="26"/>
                <w:szCs w:val="26"/>
                <w:lang w:eastAsia="lv-LV"/>
              </w:rPr>
              <w:t xml:space="preserve">, </w:t>
            </w:r>
            <w:r w:rsidR="00EA0C97">
              <w:rPr>
                <w:rFonts w:ascii="Times New Roman" w:eastAsia="Times New Roman" w:hAnsi="Times New Roman" w:cs="Times New Roman"/>
                <w:color w:val="000000" w:themeColor="text1"/>
                <w:sz w:val="26"/>
                <w:szCs w:val="26"/>
                <w:lang w:eastAsia="lv-LV"/>
              </w:rPr>
              <w:t xml:space="preserve">bērniem un </w:t>
            </w:r>
            <w:r w:rsidR="00EA0C97" w:rsidRPr="00EA0C97">
              <w:rPr>
                <w:rFonts w:ascii="Times New Roman" w:eastAsia="Times New Roman" w:hAnsi="Times New Roman" w:cs="Times New Roman"/>
                <w:color w:val="000000" w:themeColor="text1"/>
                <w:sz w:val="26"/>
                <w:szCs w:val="26"/>
                <w:lang w:eastAsia="lv-LV"/>
              </w:rPr>
              <w:t xml:space="preserve"> mazbērn</w:t>
            </w:r>
            <w:r w:rsidR="00EA0C97">
              <w:rPr>
                <w:rFonts w:ascii="Times New Roman" w:eastAsia="Times New Roman" w:hAnsi="Times New Roman" w:cs="Times New Roman"/>
                <w:color w:val="000000" w:themeColor="text1"/>
                <w:sz w:val="26"/>
                <w:szCs w:val="26"/>
                <w:lang w:eastAsia="lv-LV"/>
              </w:rPr>
              <w:t>iem.</w:t>
            </w:r>
          </w:p>
          <w:p w14:paraId="2CBF8FA4" w14:textId="175D46D0" w:rsidR="00EA0C97" w:rsidRDefault="0059770F" w:rsidP="003725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Civillikuma 214. pants noteic, ka p</w:t>
            </w:r>
            <w:r w:rsidRPr="0059770F">
              <w:rPr>
                <w:rFonts w:ascii="Times New Roman" w:eastAsia="Times New Roman" w:hAnsi="Times New Roman" w:cs="Times New Roman"/>
                <w:color w:val="000000" w:themeColor="text1"/>
                <w:sz w:val="26"/>
                <w:szCs w:val="26"/>
                <w:lang w:eastAsia="lv-LV"/>
              </w:rPr>
              <w:t>ie ģimenes šaurākā nozīmē pieder laulātie un viņu bērni, kamēr tie vēl atrodas nedalītā saimniecībā</w:t>
            </w:r>
            <w:r>
              <w:rPr>
                <w:rFonts w:ascii="Times New Roman" w:eastAsia="Times New Roman" w:hAnsi="Times New Roman" w:cs="Times New Roman"/>
                <w:color w:val="000000" w:themeColor="text1"/>
                <w:sz w:val="26"/>
                <w:szCs w:val="26"/>
                <w:lang w:eastAsia="lv-LV"/>
              </w:rPr>
              <w:t xml:space="preserve">, taču </w:t>
            </w:r>
            <w:r w:rsidR="005B2A8F">
              <w:rPr>
                <w:rFonts w:ascii="Times New Roman" w:eastAsia="Times New Roman" w:hAnsi="Times New Roman" w:cs="Times New Roman"/>
                <w:color w:val="000000" w:themeColor="text1"/>
                <w:sz w:val="26"/>
                <w:szCs w:val="26"/>
                <w:lang w:eastAsia="lv-LV"/>
              </w:rPr>
              <w:t xml:space="preserve">gan </w:t>
            </w:r>
            <w:r>
              <w:rPr>
                <w:rFonts w:ascii="Times New Roman" w:eastAsia="Times New Roman" w:hAnsi="Times New Roman" w:cs="Times New Roman"/>
                <w:color w:val="000000" w:themeColor="text1"/>
                <w:sz w:val="26"/>
                <w:szCs w:val="26"/>
                <w:lang w:eastAsia="lv-LV"/>
              </w:rPr>
              <w:t>ikdienas dzīvē</w:t>
            </w:r>
            <w:r w:rsidR="005B2A8F">
              <w:rPr>
                <w:rFonts w:ascii="Times New Roman" w:eastAsia="Times New Roman" w:hAnsi="Times New Roman" w:cs="Times New Roman"/>
                <w:color w:val="000000" w:themeColor="text1"/>
                <w:sz w:val="26"/>
                <w:szCs w:val="26"/>
                <w:lang w:eastAsia="lv-LV"/>
              </w:rPr>
              <w:t xml:space="preserve">, gan atbilstoši </w:t>
            </w:r>
            <w:r>
              <w:rPr>
                <w:rFonts w:ascii="Times New Roman" w:eastAsia="Times New Roman" w:hAnsi="Times New Roman" w:cs="Times New Roman"/>
                <w:color w:val="000000" w:themeColor="text1"/>
                <w:sz w:val="26"/>
                <w:szCs w:val="26"/>
                <w:lang w:eastAsia="lv-LV"/>
              </w:rPr>
              <w:t xml:space="preserve"> </w:t>
            </w:r>
            <w:r w:rsidR="005B2A8F">
              <w:rPr>
                <w:rFonts w:ascii="Times New Roman" w:eastAsia="Times New Roman" w:hAnsi="Times New Roman" w:cs="Times New Roman"/>
                <w:color w:val="000000" w:themeColor="text1"/>
                <w:sz w:val="26"/>
                <w:szCs w:val="26"/>
                <w:lang w:eastAsia="lv-LV"/>
              </w:rPr>
              <w:t xml:space="preserve">juridiskās literatūras atziņām </w:t>
            </w:r>
            <w:r>
              <w:rPr>
                <w:rFonts w:ascii="Times New Roman" w:eastAsia="Times New Roman" w:hAnsi="Times New Roman" w:cs="Times New Roman"/>
                <w:color w:val="000000" w:themeColor="text1"/>
                <w:sz w:val="26"/>
                <w:szCs w:val="26"/>
                <w:lang w:eastAsia="lv-LV"/>
              </w:rPr>
              <w:t xml:space="preserve">šāds sašaurinājums bieži vien ir nepamatots. </w:t>
            </w:r>
          </w:p>
          <w:p w14:paraId="1C4BFBAC" w14:textId="0C43D2FE" w:rsidR="00861E32" w:rsidRDefault="00861E32" w:rsidP="00372505">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 Eiropas Cilvēktiesību un pamatbrīvību aizsardzības konvencija </w:t>
            </w:r>
            <w:r w:rsidR="007735D1">
              <w:rPr>
                <w:rFonts w:ascii="Times New Roman" w:eastAsia="Times New Roman" w:hAnsi="Times New Roman" w:cs="Times New Roman"/>
                <w:color w:val="000000" w:themeColor="text1"/>
                <w:sz w:val="26"/>
                <w:szCs w:val="26"/>
                <w:lang w:eastAsia="lv-LV"/>
              </w:rPr>
              <w:t xml:space="preserve">[turpmāk - Konvencija] </w:t>
            </w:r>
            <w:r>
              <w:rPr>
                <w:rFonts w:ascii="Times New Roman" w:eastAsia="Times New Roman" w:hAnsi="Times New Roman" w:cs="Times New Roman"/>
                <w:color w:val="000000" w:themeColor="text1"/>
                <w:sz w:val="26"/>
                <w:szCs w:val="26"/>
                <w:lang w:eastAsia="lv-LV"/>
              </w:rPr>
              <w:t xml:space="preserve">pamatā par ģimeni atzīst personas, kurām ir radnieciska saikne un/ vai cieša sociālā saikne. [..] Satversmes tiesa ir norādījusi, ka “jēdziens “ģimene” </w:t>
            </w:r>
            <w:r w:rsidR="007735D1">
              <w:rPr>
                <w:rFonts w:ascii="Times New Roman" w:eastAsia="Times New Roman" w:hAnsi="Times New Roman" w:cs="Times New Roman"/>
                <w:color w:val="000000" w:themeColor="text1"/>
                <w:sz w:val="26"/>
                <w:szCs w:val="26"/>
                <w:lang w:eastAsia="lv-LV"/>
              </w:rPr>
              <w:t xml:space="preserve">[Konvencijas 8. pantā] nav saistīts vienīgi ar attiecībām, kas balstīta uz laulībām, tas var ietvert arī citas </w:t>
            </w:r>
            <w:r w:rsidR="007735D1" w:rsidRPr="007735D1">
              <w:rPr>
                <w:rFonts w:ascii="Times New Roman" w:eastAsia="Times New Roman" w:hAnsi="Times New Roman" w:cs="Times New Roman"/>
                <w:i/>
                <w:iCs/>
                <w:color w:val="000000" w:themeColor="text1"/>
                <w:sz w:val="26"/>
                <w:szCs w:val="26"/>
                <w:lang w:eastAsia="lv-LV"/>
              </w:rPr>
              <w:t>de facto</w:t>
            </w:r>
            <w:r w:rsidR="007735D1">
              <w:rPr>
                <w:rFonts w:ascii="Times New Roman" w:eastAsia="Times New Roman" w:hAnsi="Times New Roman" w:cs="Times New Roman"/>
                <w:color w:val="000000" w:themeColor="text1"/>
                <w:sz w:val="26"/>
                <w:szCs w:val="26"/>
                <w:lang w:eastAsia="lv-LV"/>
              </w:rPr>
              <w:t xml:space="preserve"> “ģimenes” saites gadījumos, kad puses dzīvo kopā ārpus laulības.</w:t>
            </w:r>
            <w:r>
              <w:rPr>
                <w:rFonts w:ascii="Times New Roman" w:eastAsia="Times New Roman" w:hAnsi="Times New Roman" w:cs="Times New Roman"/>
                <w:color w:val="000000" w:themeColor="text1"/>
                <w:sz w:val="26"/>
                <w:szCs w:val="26"/>
                <w:lang w:eastAsia="lv-LV"/>
              </w:rPr>
              <w:t>”</w:t>
            </w:r>
            <w:r w:rsidR="007735D1">
              <w:rPr>
                <w:rFonts w:ascii="Times New Roman" w:eastAsia="Times New Roman" w:hAnsi="Times New Roman" w:cs="Times New Roman"/>
                <w:color w:val="000000" w:themeColor="text1"/>
                <w:sz w:val="26"/>
                <w:szCs w:val="26"/>
                <w:lang w:eastAsia="lv-LV"/>
              </w:rPr>
              <w:t xml:space="preserve"> [..] “bioloģiskā un sociālā realitāte [..] ir prioritāra salīdzinājuma ar likumisko </w:t>
            </w:r>
            <w:r w:rsidR="004C4D72">
              <w:rPr>
                <w:rFonts w:ascii="Times New Roman" w:eastAsia="Times New Roman" w:hAnsi="Times New Roman" w:cs="Times New Roman"/>
                <w:color w:val="000000" w:themeColor="text1"/>
                <w:sz w:val="26"/>
                <w:szCs w:val="26"/>
                <w:lang w:eastAsia="lv-LV"/>
              </w:rPr>
              <w:t>pieņēmumu</w:t>
            </w:r>
            <w:r w:rsidR="0094750D">
              <w:rPr>
                <w:rFonts w:ascii="Times New Roman" w:eastAsia="Times New Roman" w:hAnsi="Times New Roman" w:cs="Times New Roman"/>
                <w:color w:val="000000" w:themeColor="text1"/>
                <w:sz w:val="26"/>
                <w:szCs w:val="26"/>
                <w:lang w:eastAsia="lv-LV"/>
              </w:rPr>
              <w:t>. [..]</w:t>
            </w:r>
            <w:r w:rsidR="007735D1">
              <w:rPr>
                <w:rFonts w:ascii="Times New Roman" w:eastAsia="Times New Roman" w:hAnsi="Times New Roman" w:cs="Times New Roman"/>
                <w:color w:val="000000" w:themeColor="text1"/>
                <w:sz w:val="26"/>
                <w:szCs w:val="26"/>
                <w:lang w:eastAsia="lv-LV"/>
              </w:rPr>
              <w:t>”</w:t>
            </w:r>
            <w:r w:rsidR="0094750D">
              <w:rPr>
                <w:rFonts w:ascii="Times New Roman" w:eastAsia="Times New Roman" w:hAnsi="Times New Roman" w:cs="Times New Roman"/>
                <w:color w:val="000000" w:themeColor="text1"/>
                <w:sz w:val="26"/>
                <w:szCs w:val="26"/>
                <w:lang w:eastAsia="lv-LV"/>
              </w:rPr>
              <w:t xml:space="preserve"> Laulāto attiecības, de facto pāra kopdzīve, attiecības starp vecākiem un bērniem [..], un vēcvecākiem un mazbērniem tiek uzskatītas par “ģimenes dzīvi”</w:t>
            </w:r>
            <w:r w:rsidR="00E60B44">
              <w:rPr>
                <w:rFonts w:ascii="Times New Roman" w:eastAsia="Times New Roman" w:hAnsi="Times New Roman" w:cs="Times New Roman"/>
                <w:color w:val="000000" w:themeColor="text1"/>
                <w:sz w:val="26"/>
                <w:szCs w:val="26"/>
                <w:lang w:eastAsia="lv-LV"/>
              </w:rPr>
              <w:t>, ja vien ģimenisko attiecību trūkums nav acīmredzams vai pierādīts</w:t>
            </w:r>
            <w:r>
              <w:rPr>
                <w:rFonts w:ascii="Times New Roman" w:eastAsia="Times New Roman" w:hAnsi="Times New Roman" w:cs="Times New Roman"/>
                <w:color w:val="000000" w:themeColor="text1"/>
                <w:sz w:val="26"/>
                <w:szCs w:val="26"/>
                <w:lang w:eastAsia="lv-LV"/>
              </w:rPr>
              <w:t>”</w:t>
            </w:r>
            <w:r w:rsidR="007735D1">
              <w:rPr>
                <w:rFonts w:ascii="Times New Roman" w:eastAsia="Times New Roman" w:hAnsi="Times New Roman" w:cs="Times New Roman"/>
                <w:color w:val="000000" w:themeColor="text1"/>
                <w:sz w:val="26"/>
                <w:szCs w:val="26"/>
                <w:lang w:eastAsia="lv-LV"/>
              </w:rPr>
              <w:t>.</w:t>
            </w:r>
            <w:r w:rsidR="00E60B44">
              <w:rPr>
                <w:rFonts w:ascii="Times New Roman" w:eastAsia="Times New Roman" w:hAnsi="Times New Roman" w:cs="Times New Roman"/>
                <w:color w:val="000000" w:themeColor="text1"/>
                <w:sz w:val="26"/>
                <w:szCs w:val="26"/>
                <w:lang w:eastAsia="lv-LV"/>
              </w:rPr>
              <w:t xml:space="preserve"> (sk. Dupate</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K</w:t>
            </w:r>
            <w:r w:rsidR="00E60B44" w:rsidRPr="00E60B44">
              <w:rPr>
                <w:rFonts w:ascii="Times New Roman" w:eastAsia="Times New Roman" w:hAnsi="Times New Roman" w:cs="Times New Roman"/>
                <w:color w:val="000000" w:themeColor="text1"/>
                <w:sz w:val="26"/>
                <w:szCs w:val="26"/>
                <w:lang w:eastAsia="lv-LV"/>
              </w:rPr>
              <w:t>.</w:t>
            </w:r>
            <w:r w:rsidR="00E60B44">
              <w:rPr>
                <w:rFonts w:ascii="Times New Roman" w:eastAsia="Times New Roman" w:hAnsi="Times New Roman" w:cs="Times New Roman"/>
                <w:color w:val="000000" w:themeColor="text1"/>
                <w:sz w:val="26"/>
                <w:szCs w:val="26"/>
                <w:lang w:eastAsia="lv-LV"/>
              </w:rPr>
              <w:t>,</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Reine</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I</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110</w:t>
            </w:r>
            <w:r w:rsidR="00E60B44" w:rsidRPr="00E60B44">
              <w:rPr>
                <w:rFonts w:ascii="Times New Roman" w:eastAsia="Times New Roman" w:hAnsi="Times New Roman" w:cs="Times New Roman"/>
                <w:color w:val="000000" w:themeColor="text1"/>
                <w:sz w:val="26"/>
                <w:szCs w:val="26"/>
                <w:lang w:eastAsia="lv-LV"/>
              </w:rPr>
              <w:t xml:space="preserve">. pants. / Autoru kolektīvs </w:t>
            </w:r>
            <w:r w:rsidR="00E60B44">
              <w:rPr>
                <w:rFonts w:ascii="Times New Roman" w:eastAsia="Times New Roman" w:hAnsi="Times New Roman" w:cs="Times New Roman"/>
                <w:color w:val="000000" w:themeColor="text1"/>
                <w:sz w:val="26"/>
                <w:szCs w:val="26"/>
                <w:lang w:eastAsia="lv-LV"/>
              </w:rPr>
              <w:t>Baloža</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R</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 xml:space="preserve">zinātniskā </w:t>
            </w:r>
            <w:r w:rsidR="00E60B44" w:rsidRPr="00E60B44">
              <w:rPr>
                <w:rFonts w:ascii="Times New Roman" w:eastAsia="Times New Roman" w:hAnsi="Times New Roman" w:cs="Times New Roman"/>
                <w:color w:val="000000" w:themeColor="text1"/>
                <w:sz w:val="26"/>
                <w:szCs w:val="26"/>
                <w:lang w:eastAsia="lv-LV"/>
              </w:rPr>
              <w:t xml:space="preserve">vadībā. </w:t>
            </w:r>
            <w:r w:rsidR="00E60B44">
              <w:rPr>
                <w:rFonts w:ascii="Times New Roman" w:eastAsia="Times New Roman" w:hAnsi="Times New Roman" w:cs="Times New Roman"/>
                <w:color w:val="000000" w:themeColor="text1"/>
                <w:sz w:val="26"/>
                <w:szCs w:val="26"/>
                <w:lang w:eastAsia="lv-LV"/>
              </w:rPr>
              <w:t>Latvijas Republikas Satversmes</w:t>
            </w:r>
            <w:r w:rsidR="00E60B44" w:rsidRPr="00E60B44">
              <w:rPr>
                <w:rFonts w:ascii="Times New Roman" w:eastAsia="Times New Roman" w:hAnsi="Times New Roman" w:cs="Times New Roman"/>
                <w:color w:val="000000" w:themeColor="text1"/>
                <w:sz w:val="26"/>
                <w:szCs w:val="26"/>
                <w:lang w:eastAsia="lv-LV"/>
              </w:rPr>
              <w:t xml:space="preserve"> komentāri. </w:t>
            </w:r>
            <w:r w:rsidR="00E60B44">
              <w:rPr>
                <w:rFonts w:ascii="Times New Roman" w:eastAsia="Times New Roman" w:hAnsi="Times New Roman" w:cs="Times New Roman"/>
                <w:color w:val="000000" w:themeColor="text1"/>
                <w:sz w:val="26"/>
                <w:szCs w:val="26"/>
                <w:lang w:eastAsia="lv-LV"/>
              </w:rPr>
              <w:t>VIII</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no</w:t>
            </w:r>
            <w:r w:rsidR="00E60B44" w:rsidRPr="00E60B44">
              <w:rPr>
                <w:rFonts w:ascii="Times New Roman" w:eastAsia="Times New Roman" w:hAnsi="Times New Roman" w:cs="Times New Roman"/>
                <w:color w:val="000000" w:themeColor="text1"/>
                <w:sz w:val="26"/>
                <w:szCs w:val="26"/>
                <w:lang w:eastAsia="lv-LV"/>
              </w:rPr>
              <w:t>daļa</w:t>
            </w:r>
            <w:r w:rsidR="00E60B44">
              <w:rPr>
                <w:rFonts w:ascii="Times New Roman" w:eastAsia="Times New Roman" w:hAnsi="Times New Roman" w:cs="Times New Roman"/>
                <w:color w:val="000000" w:themeColor="text1"/>
                <w:sz w:val="26"/>
                <w:szCs w:val="26"/>
                <w:lang w:eastAsia="lv-LV"/>
              </w:rPr>
              <w:t>. Cilvēka pamattiesības</w:t>
            </w:r>
            <w:r w:rsidR="00E60B44" w:rsidRPr="00E60B44">
              <w:rPr>
                <w:rFonts w:ascii="Times New Roman" w:eastAsia="Times New Roman" w:hAnsi="Times New Roman" w:cs="Times New Roman"/>
                <w:color w:val="000000" w:themeColor="text1"/>
                <w:sz w:val="26"/>
                <w:szCs w:val="26"/>
                <w:lang w:eastAsia="lv-LV"/>
              </w:rPr>
              <w:t xml:space="preserve">. Rīga: </w:t>
            </w:r>
            <w:r w:rsidR="00E60B44">
              <w:rPr>
                <w:rFonts w:ascii="Times New Roman" w:eastAsia="Times New Roman" w:hAnsi="Times New Roman" w:cs="Times New Roman"/>
                <w:color w:val="000000" w:themeColor="text1"/>
                <w:sz w:val="26"/>
                <w:szCs w:val="26"/>
                <w:lang w:eastAsia="lv-LV"/>
              </w:rPr>
              <w:t>Latvijas Vēstnesis</w:t>
            </w:r>
            <w:r w:rsidR="00E60B44" w:rsidRPr="00E60B44">
              <w:rPr>
                <w:rFonts w:ascii="Times New Roman" w:eastAsia="Times New Roman" w:hAnsi="Times New Roman" w:cs="Times New Roman"/>
                <w:color w:val="000000" w:themeColor="text1"/>
                <w:sz w:val="26"/>
                <w:szCs w:val="26"/>
                <w:lang w:eastAsia="lv-LV"/>
              </w:rPr>
              <w:t>, 201</w:t>
            </w:r>
            <w:r w:rsidR="00E60B44">
              <w:rPr>
                <w:rFonts w:ascii="Times New Roman" w:eastAsia="Times New Roman" w:hAnsi="Times New Roman" w:cs="Times New Roman"/>
                <w:color w:val="000000" w:themeColor="text1"/>
                <w:sz w:val="26"/>
                <w:szCs w:val="26"/>
                <w:lang w:eastAsia="lv-LV"/>
              </w:rPr>
              <w:t>1</w:t>
            </w:r>
            <w:r w:rsidR="00E60B44" w:rsidRPr="00E60B44">
              <w:rPr>
                <w:rFonts w:ascii="Times New Roman" w:eastAsia="Times New Roman" w:hAnsi="Times New Roman" w:cs="Times New Roman"/>
                <w:color w:val="000000" w:themeColor="text1"/>
                <w:sz w:val="26"/>
                <w:szCs w:val="26"/>
                <w:lang w:eastAsia="lv-LV"/>
              </w:rPr>
              <w:t xml:space="preserve">., </w:t>
            </w:r>
            <w:r w:rsidR="00E60B44">
              <w:rPr>
                <w:rFonts w:ascii="Times New Roman" w:eastAsia="Times New Roman" w:hAnsi="Times New Roman" w:cs="Times New Roman"/>
                <w:color w:val="000000" w:themeColor="text1"/>
                <w:sz w:val="26"/>
                <w:szCs w:val="26"/>
                <w:lang w:eastAsia="lv-LV"/>
              </w:rPr>
              <w:t>590-591</w:t>
            </w:r>
            <w:r w:rsidR="00E60B44" w:rsidRPr="00E60B44">
              <w:rPr>
                <w:rFonts w:ascii="Times New Roman" w:eastAsia="Times New Roman" w:hAnsi="Times New Roman" w:cs="Times New Roman"/>
                <w:color w:val="000000" w:themeColor="text1"/>
                <w:sz w:val="26"/>
                <w:szCs w:val="26"/>
                <w:lang w:eastAsia="lv-LV"/>
              </w:rPr>
              <w:t>. lpp.)</w:t>
            </w:r>
          </w:p>
          <w:p w14:paraId="5AC6D983" w14:textId="02556DD1" w:rsidR="009B653A" w:rsidRPr="00690D23" w:rsidRDefault="009B653A" w:rsidP="009B653A">
            <w:pPr>
              <w:shd w:val="clear" w:color="auto" w:fill="FFFFFF"/>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Piemērojot s</w:t>
            </w:r>
            <w:r w:rsidRPr="00690D23">
              <w:rPr>
                <w:rFonts w:ascii="Times New Roman" w:eastAsia="Times New Roman" w:hAnsi="Times New Roman" w:cs="Times New Roman"/>
                <w:color w:val="000000" w:themeColor="text1"/>
                <w:sz w:val="26"/>
                <w:szCs w:val="26"/>
                <w:lang w:eastAsia="lv-LV"/>
              </w:rPr>
              <w:t>aistošo</w:t>
            </w:r>
            <w:r>
              <w:rPr>
                <w:rFonts w:ascii="Times New Roman" w:eastAsia="Times New Roman" w:hAnsi="Times New Roman" w:cs="Times New Roman"/>
                <w:color w:val="000000" w:themeColor="text1"/>
                <w:sz w:val="26"/>
                <w:szCs w:val="26"/>
                <w:lang w:eastAsia="lv-LV"/>
              </w:rPr>
              <w:t>s</w:t>
            </w:r>
            <w:r w:rsidRPr="00690D23">
              <w:rPr>
                <w:rFonts w:ascii="Times New Roman" w:eastAsia="Times New Roman" w:hAnsi="Times New Roman" w:cs="Times New Roman"/>
                <w:color w:val="000000" w:themeColor="text1"/>
                <w:sz w:val="26"/>
                <w:szCs w:val="26"/>
                <w:lang w:eastAsia="lv-LV"/>
              </w:rPr>
              <w:t xml:space="preserve"> noteikumu</w:t>
            </w:r>
            <w:r>
              <w:rPr>
                <w:rFonts w:ascii="Times New Roman" w:eastAsia="Times New Roman" w:hAnsi="Times New Roman" w:cs="Times New Roman"/>
                <w:color w:val="000000" w:themeColor="text1"/>
                <w:sz w:val="26"/>
                <w:szCs w:val="26"/>
                <w:lang w:eastAsia="lv-LV"/>
              </w:rPr>
              <w:t>s</w:t>
            </w:r>
            <w:r w:rsidRPr="00690D23">
              <w:rPr>
                <w:rFonts w:ascii="Times New Roman" w:eastAsia="Times New Roman" w:hAnsi="Times New Roman" w:cs="Times New Roman"/>
                <w:color w:val="000000" w:themeColor="text1"/>
                <w:sz w:val="26"/>
                <w:szCs w:val="26"/>
                <w:lang w:eastAsia="lv-LV"/>
              </w:rPr>
              <w:t xml:space="preserve"> ir nepieciešama fizisko personu datu apstrāde, lai nodrošinātu grozāmo saistošo noteikumu mērķa izpildi atbilstoši Pašvaldību likuma 4. panta pirmās daļas 5. punktā noteiktajai pašvaldības autonomajai funkcijai. Proti, lai nodrošinātu iespēju apmācībās piedalīties vēsturisko ēku</w:t>
            </w:r>
            <w:r w:rsidRPr="00690D23">
              <w:rPr>
                <w:rFonts w:ascii="Times New Roman" w:hAnsi="Times New Roman" w:cs="Times New Roman"/>
                <w:sz w:val="26"/>
                <w:szCs w:val="26"/>
              </w:rPr>
              <w:t xml:space="preserve"> īpašnieku </w:t>
            </w:r>
            <w:r w:rsidRPr="00690D23">
              <w:rPr>
                <w:rFonts w:ascii="Times New Roman" w:eastAsia="Times New Roman" w:hAnsi="Times New Roman" w:cs="Times New Roman"/>
                <w:color w:val="000000" w:themeColor="text1"/>
                <w:sz w:val="26"/>
                <w:szCs w:val="26"/>
                <w:lang w:eastAsia="lv-LV"/>
              </w:rPr>
              <w:t>laulātajiem, partneriem, bērniem un mazbērniem ir nepieciešama radniecības, laulības vai partnerattiecību juridisk</w:t>
            </w:r>
            <w:r w:rsidR="00DE0B0D">
              <w:rPr>
                <w:rFonts w:ascii="Times New Roman" w:eastAsia="Times New Roman" w:hAnsi="Times New Roman" w:cs="Times New Roman"/>
                <w:color w:val="000000" w:themeColor="text1"/>
                <w:sz w:val="26"/>
                <w:szCs w:val="26"/>
                <w:lang w:eastAsia="lv-LV"/>
              </w:rPr>
              <w:t>ā</w:t>
            </w:r>
            <w:r w:rsidRPr="00690D23">
              <w:rPr>
                <w:rFonts w:ascii="Times New Roman" w:eastAsia="Times New Roman" w:hAnsi="Times New Roman" w:cs="Times New Roman"/>
                <w:color w:val="000000" w:themeColor="text1"/>
                <w:sz w:val="26"/>
                <w:szCs w:val="26"/>
                <w:lang w:eastAsia="lv-LV"/>
              </w:rPr>
              <w:t xml:space="preserve"> pamatojuma pārbaude.</w:t>
            </w:r>
          </w:p>
          <w:p w14:paraId="19936184" w14:textId="77777777" w:rsidR="009B653A" w:rsidRPr="00690D23" w:rsidRDefault="009B653A" w:rsidP="009B653A">
            <w:pPr>
              <w:shd w:val="clear" w:color="auto" w:fill="FFFFFF"/>
              <w:ind w:firstLine="731"/>
              <w:jc w:val="both"/>
              <w:rPr>
                <w:rFonts w:ascii="Times New Roman" w:eastAsia="Times New Roman" w:hAnsi="Times New Roman" w:cs="Times New Roman"/>
                <w:color w:val="000000" w:themeColor="text1"/>
                <w:sz w:val="26"/>
                <w:szCs w:val="26"/>
                <w:lang w:eastAsia="lv-LV"/>
              </w:rPr>
            </w:pPr>
            <w:r w:rsidRPr="00690D23">
              <w:rPr>
                <w:rFonts w:ascii="Times New Roman" w:eastAsia="Times New Roman" w:hAnsi="Times New Roman" w:cs="Times New Roman"/>
                <w:color w:val="000000" w:themeColor="text1"/>
                <w:sz w:val="26"/>
                <w:szCs w:val="26"/>
                <w:lang w:eastAsia="lv-LV"/>
              </w:rPr>
              <w:t>Datu apstrādes tiesiskais pamats ir Vispārīgās datu aizsardzības regulas (ES) 2016/679 6. panta 1. punkta c) un e) apakšpunkts – juridiska pienākuma izpilde un uzdevuma veikšana sabiedrības interesēs.</w:t>
            </w:r>
          </w:p>
          <w:p w14:paraId="4610C025" w14:textId="77777777" w:rsidR="009B653A" w:rsidRPr="00690D23" w:rsidRDefault="009B653A" w:rsidP="009B653A">
            <w:pPr>
              <w:shd w:val="clear" w:color="auto" w:fill="FFFFFF"/>
              <w:ind w:firstLine="731"/>
              <w:jc w:val="both"/>
              <w:rPr>
                <w:rFonts w:ascii="Times New Roman" w:eastAsia="Times New Roman" w:hAnsi="Times New Roman" w:cs="Times New Roman"/>
                <w:color w:val="000000" w:themeColor="text1"/>
                <w:sz w:val="26"/>
                <w:szCs w:val="26"/>
                <w:lang w:eastAsia="lv-LV"/>
              </w:rPr>
            </w:pPr>
            <w:r w:rsidRPr="00690D23">
              <w:rPr>
                <w:rFonts w:ascii="Times New Roman" w:eastAsia="Times New Roman" w:hAnsi="Times New Roman" w:cs="Times New Roman"/>
                <w:color w:val="000000" w:themeColor="text1"/>
                <w:sz w:val="26"/>
                <w:szCs w:val="26"/>
                <w:lang w:eastAsia="lv-LV"/>
              </w:rPr>
              <w:t xml:space="preserve">Personu dati tiks izmantoti tikai </w:t>
            </w:r>
            <w:r>
              <w:rPr>
                <w:rFonts w:ascii="Times New Roman" w:eastAsia="Times New Roman" w:hAnsi="Times New Roman" w:cs="Times New Roman"/>
                <w:color w:val="000000" w:themeColor="text1"/>
                <w:sz w:val="26"/>
                <w:szCs w:val="26"/>
                <w:lang w:eastAsia="lv-LV"/>
              </w:rPr>
              <w:t xml:space="preserve">grozāmo </w:t>
            </w:r>
            <w:r w:rsidRPr="00690D23">
              <w:rPr>
                <w:rFonts w:ascii="Times New Roman" w:eastAsia="Times New Roman" w:hAnsi="Times New Roman" w:cs="Times New Roman"/>
                <w:color w:val="000000" w:themeColor="text1"/>
                <w:sz w:val="26"/>
                <w:szCs w:val="26"/>
                <w:lang w:eastAsia="lv-LV"/>
              </w:rPr>
              <w:t>saistošo noteikumu 3. punktā norādīto personu atbilstības pārbaudei un netiks apstrādāti citiem nolūkiem.</w:t>
            </w:r>
          </w:p>
          <w:p w14:paraId="0C8ECBB2" w14:textId="2AB4C3E3" w:rsidR="004172F6" w:rsidRPr="00690D23" w:rsidRDefault="004172F6" w:rsidP="00372505">
            <w:pPr>
              <w:shd w:val="clear" w:color="auto" w:fill="FFFFFF"/>
              <w:ind w:firstLine="731"/>
              <w:jc w:val="both"/>
              <w:rPr>
                <w:rFonts w:ascii="Times New Roman" w:eastAsia="Times New Roman" w:hAnsi="Times New Roman" w:cs="Times New Roman"/>
                <w:color w:val="000000" w:themeColor="text1"/>
                <w:sz w:val="26"/>
                <w:szCs w:val="26"/>
                <w:lang w:eastAsia="lv-LV"/>
              </w:rPr>
            </w:pPr>
            <w:r w:rsidRPr="00690D23">
              <w:rPr>
                <w:rFonts w:ascii="Times New Roman" w:eastAsia="Times New Roman" w:hAnsi="Times New Roman" w:cs="Times New Roman"/>
                <w:color w:val="000000" w:themeColor="text1"/>
                <w:sz w:val="26"/>
                <w:szCs w:val="26"/>
                <w:lang w:eastAsia="lv-LV"/>
              </w:rPr>
              <w:t xml:space="preserve">Atbilstoši Ministru kabineta </w:t>
            </w:r>
            <w:r w:rsidR="00690D23" w:rsidRPr="00690D23">
              <w:rPr>
                <w:rFonts w:ascii="Times New Roman" w:eastAsia="Times New Roman" w:hAnsi="Times New Roman" w:cs="Times New Roman"/>
                <w:color w:val="000000" w:themeColor="text1"/>
                <w:sz w:val="26"/>
                <w:szCs w:val="26"/>
                <w:lang w:eastAsia="lv-LV"/>
              </w:rPr>
              <w:t xml:space="preserve">15.06.2021. </w:t>
            </w:r>
            <w:r w:rsidRPr="00690D23">
              <w:rPr>
                <w:rFonts w:ascii="Times New Roman" w:eastAsia="Times New Roman" w:hAnsi="Times New Roman" w:cs="Times New Roman"/>
                <w:color w:val="000000" w:themeColor="text1"/>
                <w:sz w:val="26"/>
                <w:szCs w:val="26"/>
                <w:lang w:eastAsia="lv-LV"/>
              </w:rPr>
              <w:t>noteikumiem Nr. 372 “</w:t>
            </w:r>
            <w:r w:rsidR="00690D23" w:rsidRPr="00690D23">
              <w:rPr>
                <w:rFonts w:ascii="Times New Roman" w:eastAsia="Times New Roman" w:hAnsi="Times New Roman" w:cs="Times New Roman"/>
                <w:color w:val="000000" w:themeColor="text1"/>
                <w:sz w:val="26"/>
                <w:szCs w:val="26"/>
                <w:lang w:eastAsia="lv-LV"/>
              </w:rPr>
              <w:t>Noteikumi par Fizisko personu reģistrā iekļaujamo ziņu apjomu</w:t>
            </w:r>
            <w:r w:rsidRPr="00690D23">
              <w:rPr>
                <w:rFonts w:ascii="Times New Roman" w:eastAsia="Times New Roman" w:hAnsi="Times New Roman" w:cs="Times New Roman"/>
                <w:color w:val="000000" w:themeColor="text1"/>
                <w:sz w:val="26"/>
                <w:szCs w:val="26"/>
                <w:lang w:eastAsia="lv-LV"/>
              </w:rPr>
              <w:t>”</w:t>
            </w:r>
            <w:r w:rsidR="00690D23" w:rsidRPr="00690D23">
              <w:rPr>
                <w:rFonts w:ascii="Times New Roman" w:eastAsia="Times New Roman" w:hAnsi="Times New Roman" w:cs="Times New Roman"/>
                <w:color w:val="000000" w:themeColor="text1"/>
                <w:sz w:val="26"/>
                <w:szCs w:val="26"/>
                <w:lang w:eastAsia="lv-LV"/>
              </w:rPr>
              <w:t xml:space="preserve"> </w:t>
            </w:r>
            <w:r w:rsidR="00A13E6E" w:rsidRPr="00A13E6E">
              <w:rPr>
                <w:rFonts w:ascii="Times New Roman" w:eastAsia="Times New Roman" w:hAnsi="Times New Roman" w:cs="Times New Roman"/>
                <w:color w:val="000000" w:themeColor="text1"/>
                <w:sz w:val="26"/>
                <w:szCs w:val="26"/>
                <w:lang w:eastAsia="lv-LV"/>
              </w:rPr>
              <w:t>Fizisko personu reģistrā</w:t>
            </w:r>
            <w:r w:rsidR="00A13E6E">
              <w:rPr>
                <w:rFonts w:ascii="Times New Roman" w:eastAsia="Times New Roman" w:hAnsi="Times New Roman" w:cs="Times New Roman"/>
                <w:color w:val="000000" w:themeColor="text1"/>
                <w:sz w:val="26"/>
                <w:szCs w:val="26"/>
                <w:lang w:eastAsia="lv-LV"/>
              </w:rPr>
              <w:t xml:space="preserve"> iekļauj ziņas par personas tēvu, māti, laulību un partnerību. Līdz ar to </w:t>
            </w:r>
            <w:r w:rsidR="008B7ED8">
              <w:rPr>
                <w:rFonts w:ascii="Times New Roman" w:eastAsia="Times New Roman" w:hAnsi="Times New Roman" w:cs="Times New Roman"/>
                <w:color w:val="000000" w:themeColor="text1"/>
                <w:sz w:val="26"/>
                <w:szCs w:val="26"/>
                <w:lang w:eastAsia="lv-LV"/>
              </w:rPr>
              <w:t xml:space="preserve">paredzēts, ka </w:t>
            </w:r>
            <w:r w:rsidR="00A13E6E">
              <w:rPr>
                <w:rFonts w:ascii="Times New Roman" w:eastAsia="Times New Roman" w:hAnsi="Times New Roman" w:cs="Times New Roman"/>
                <w:color w:val="000000" w:themeColor="text1"/>
                <w:sz w:val="26"/>
                <w:szCs w:val="26"/>
                <w:lang w:eastAsia="lv-LV"/>
              </w:rPr>
              <w:t>parasti nepieciešam</w:t>
            </w:r>
            <w:r w:rsidR="008B7ED8">
              <w:rPr>
                <w:rFonts w:ascii="Times New Roman" w:eastAsia="Times New Roman" w:hAnsi="Times New Roman" w:cs="Times New Roman"/>
                <w:color w:val="000000" w:themeColor="text1"/>
                <w:sz w:val="26"/>
                <w:szCs w:val="26"/>
                <w:lang w:eastAsia="lv-LV"/>
              </w:rPr>
              <w:t>o</w:t>
            </w:r>
            <w:r w:rsidR="00A13E6E">
              <w:rPr>
                <w:rFonts w:ascii="Times New Roman" w:eastAsia="Times New Roman" w:hAnsi="Times New Roman" w:cs="Times New Roman"/>
                <w:color w:val="000000" w:themeColor="text1"/>
                <w:sz w:val="26"/>
                <w:szCs w:val="26"/>
                <w:lang w:eastAsia="lv-LV"/>
              </w:rPr>
              <w:t xml:space="preserve"> </w:t>
            </w:r>
            <w:r w:rsidR="00A13E6E">
              <w:rPr>
                <w:rFonts w:ascii="Times New Roman" w:eastAsia="Times New Roman" w:hAnsi="Times New Roman" w:cs="Times New Roman"/>
                <w:color w:val="000000" w:themeColor="text1"/>
                <w:sz w:val="26"/>
                <w:szCs w:val="26"/>
                <w:lang w:eastAsia="lv-LV"/>
              </w:rPr>
              <w:lastRenderedPageBreak/>
              <w:t>informācij</w:t>
            </w:r>
            <w:r w:rsidR="008B7ED8">
              <w:rPr>
                <w:rFonts w:ascii="Times New Roman" w:eastAsia="Times New Roman" w:hAnsi="Times New Roman" w:cs="Times New Roman"/>
                <w:color w:val="000000" w:themeColor="text1"/>
                <w:sz w:val="26"/>
                <w:szCs w:val="26"/>
                <w:lang w:eastAsia="lv-LV"/>
              </w:rPr>
              <w:t>u</w:t>
            </w:r>
            <w:r w:rsidR="00A13E6E">
              <w:rPr>
                <w:rFonts w:ascii="Times New Roman" w:eastAsia="Times New Roman" w:hAnsi="Times New Roman" w:cs="Times New Roman"/>
                <w:color w:val="000000" w:themeColor="text1"/>
                <w:sz w:val="26"/>
                <w:szCs w:val="26"/>
                <w:lang w:eastAsia="lv-LV"/>
              </w:rPr>
              <w:t xml:space="preserve"> </w:t>
            </w:r>
            <w:r w:rsidR="008B7ED8" w:rsidRPr="008B7ED8">
              <w:rPr>
                <w:rFonts w:ascii="Times New Roman" w:eastAsia="Times New Roman" w:hAnsi="Times New Roman" w:cs="Times New Roman"/>
                <w:color w:val="000000" w:themeColor="text1"/>
                <w:sz w:val="26"/>
                <w:szCs w:val="26"/>
                <w:lang w:eastAsia="lv-LV"/>
              </w:rPr>
              <w:t>Rīgas valstspilsētas pašvaldības Īpašuma departaments (turpmāk – departaments)</w:t>
            </w:r>
            <w:r w:rsidR="00A13E6E">
              <w:rPr>
                <w:rFonts w:ascii="Times New Roman" w:eastAsia="Times New Roman" w:hAnsi="Times New Roman" w:cs="Times New Roman"/>
                <w:color w:val="000000" w:themeColor="text1"/>
                <w:sz w:val="26"/>
                <w:szCs w:val="26"/>
                <w:lang w:eastAsia="lv-LV"/>
              </w:rPr>
              <w:t xml:space="preserve"> ieg</w:t>
            </w:r>
            <w:r w:rsidR="008B7ED8">
              <w:rPr>
                <w:rFonts w:ascii="Times New Roman" w:eastAsia="Times New Roman" w:hAnsi="Times New Roman" w:cs="Times New Roman"/>
                <w:color w:val="000000" w:themeColor="text1"/>
                <w:sz w:val="26"/>
                <w:szCs w:val="26"/>
                <w:lang w:eastAsia="lv-LV"/>
              </w:rPr>
              <w:t>ūs</w:t>
            </w:r>
            <w:r w:rsidR="00A13E6E">
              <w:rPr>
                <w:rFonts w:ascii="Times New Roman" w:eastAsia="Times New Roman" w:hAnsi="Times New Roman" w:cs="Times New Roman"/>
                <w:color w:val="000000" w:themeColor="text1"/>
                <w:sz w:val="26"/>
                <w:szCs w:val="26"/>
                <w:lang w:eastAsia="lv-LV"/>
              </w:rPr>
              <w:t xml:space="preserve"> </w:t>
            </w:r>
            <w:r w:rsidR="006E6949">
              <w:rPr>
                <w:rFonts w:ascii="Times New Roman" w:eastAsia="Times New Roman" w:hAnsi="Times New Roman" w:cs="Times New Roman"/>
                <w:color w:val="000000" w:themeColor="text1"/>
                <w:sz w:val="26"/>
                <w:szCs w:val="26"/>
                <w:lang w:eastAsia="lv-LV"/>
              </w:rPr>
              <w:t>Fizisko personu reģistr</w:t>
            </w:r>
            <w:r w:rsidR="008B7ED8">
              <w:rPr>
                <w:rFonts w:ascii="Times New Roman" w:eastAsia="Times New Roman" w:hAnsi="Times New Roman" w:cs="Times New Roman"/>
                <w:color w:val="000000" w:themeColor="text1"/>
                <w:sz w:val="26"/>
                <w:szCs w:val="26"/>
                <w:lang w:eastAsia="lv-LV"/>
              </w:rPr>
              <w:t>ā, ka to noteic Administratīvā procesa likuma 59. panta otrā daļa, proti, j</w:t>
            </w:r>
            <w:r w:rsidR="008B7ED8" w:rsidRPr="008B7ED8">
              <w:rPr>
                <w:rFonts w:ascii="Times New Roman" w:eastAsia="Times New Roman" w:hAnsi="Times New Roman" w:cs="Times New Roman"/>
                <w:color w:val="000000" w:themeColor="text1"/>
                <w:sz w:val="26"/>
                <w:szCs w:val="26"/>
                <w:lang w:eastAsia="lv-LV"/>
              </w:rPr>
              <w:t>a iestādei nepieciešamā informācija ir nevis administratīvā procesa dalībnieku, bet gan citas institūcijas rīcībā, iestāde to iegūst pati, nevis pieprasa no administratīvā procesa dalībniekiem.</w:t>
            </w:r>
          </w:p>
          <w:p w14:paraId="7E20F128" w14:textId="56592545" w:rsidR="00690D23" w:rsidRPr="00690D23" w:rsidRDefault="002012E7" w:rsidP="00EF2EA1">
            <w:pPr>
              <w:shd w:val="clear" w:color="auto" w:fill="FFFFFF"/>
              <w:ind w:firstLine="731"/>
              <w:jc w:val="both"/>
              <w:rPr>
                <w:rFonts w:ascii="Times New Roman" w:eastAsia="Times New Roman" w:hAnsi="Times New Roman" w:cs="Times New Roman"/>
                <w:color w:val="000000" w:themeColor="text1"/>
                <w:sz w:val="26"/>
                <w:szCs w:val="26"/>
                <w:lang w:eastAsia="lv-LV"/>
              </w:rPr>
            </w:pPr>
            <w:r w:rsidRPr="002012E7">
              <w:rPr>
                <w:rFonts w:ascii="Times New Roman" w:eastAsia="Times New Roman" w:hAnsi="Times New Roman" w:cs="Times New Roman"/>
                <w:color w:val="000000" w:themeColor="text1"/>
                <w:sz w:val="26"/>
                <w:szCs w:val="26"/>
                <w:lang w:eastAsia="lv-LV"/>
              </w:rPr>
              <w:t>Apmācību pretendent</w:t>
            </w:r>
            <w:r>
              <w:rPr>
                <w:rFonts w:ascii="Times New Roman" w:eastAsia="Times New Roman" w:hAnsi="Times New Roman" w:cs="Times New Roman"/>
                <w:color w:val="000000" w:themeColor="text1"/>
                <w:sz w:val="26"/>
                <w:szCs w:val="26"/>
                <w:lang w:eastAsia="lv-LV"/>
              </w:rPr>
              <w:t xml:space="preserve">u loka aprobežošana ar tuviem ģimenes locekļiem ir attaisnojama ar grozāmo saistošo noteikumu </w:t>
            </w:r>
            <w:r w:rsidR="00A8010B">
              <w:rPr>
                <w:rFonts w:ascii="Times New Roman" w:eastAsia="Times New Roman" w:hAnsi="Times New Roman" w:cs="Times New Roman"/>
                <w:color w:val="000000" w:themeColor="text1"/>
                <w:sz w:val="26"/>
                <w:szCs w:val="26"/>
                <w:lang w:eastAsia="lv-LV"/>
              </w:rPr>
              <w:t xml:space="preserve">paskaidrojuma rakstā norādīto </w:t>
            </w:r>
            <w:r>
              <w:rPr>
                <w:rFonts w:ascii="Times New Roman" w:eastAsia="Times New Roman" w:hAnsi="Times New Roman" w:cs="Times New Roman"/>
                <w:color w:val="000000" w:themeColor="text1"/>
                <w:sz w:val="26"/>
                <w:szCs w:val="26"/>
                <w:lang w:eastAsia="lv-LV"/>
              </w:rPr>
              <w:t>mērķi</w:t>
            </w:r>
            <w:r w:rsidR="00EF2EA1">
              <w:rPr>
                <w:rFonts w:ascii="Times New Roman" w:eastAsia="Times New Roman" w:hAnsi="Times New Roman" w:cs="Times New Roman"/>
                <w:color w:val="000000" w:themeColor="text1"/>
                <w:sz w:val="26"/>
                <w:szCs w:val="26"/>
                <w:lang w:eastAsia="lv-LV"/>
              </w:rPr>
              <w:t xml:space="preserve"> </w:t>
            </w:r>
            <w:r w:rsidR="00234596">
              <w:rPr>
                <w:rFonts w:ascii="Times New Roman" w:eastAsia="Times New Roman" w:hAnsi="Times New Roman" w:cs="Times New Roman"/>
                <w:color w:val="000000" w:themeColor="text1"/>
                <w:sz w:val="26"/>
                <w:szCs w:val="26"/>
                <w:lang w:eastAsia="lv-LV"/>
              </w:rPr>
              <w:t xml:space="preserve">- </w:t>
            </w:r>
            <w:r w:rsidR="00EF2EA1" w:rsidRPr="00EF2EA1">
              <w:rPr>
                <w:rFonts w:ascii="Times New Roman" w:eastAsia="Times New Roman" w:hAnsi="Times New Roman" w:cs="Times New Roman"/>
                <w:color w:val="000000" w:themeColor="text1"/>
                <w:sz w:val="26"/>
                <w:szCs w:val="26"/>
                <w:lang w:eastAsia="lv-LV"/>
              </w:rPr>
              <w:t>iesaistīt ēku īpašniekus teorētisko zināšanu un praktisko iemaņu apgūšanā vēsturisko koka elementu saglabāšanai. Tādējādi tiks veicināta ēku īpašnieku izpratne par savlaicīgu un saudzīgu ēku uzturēšanas un atjaunošanas metožu nozīmi vēsturisku ēku ilgmūžībā, kā arī par īpašnieku atbildību īpašuma vēsturiskās substances saglabāšanā. Mācību procesā, vienlaicīgi iesaistot vairākus ēku īpašniekus, tiks veicināta vēsturisku ēku īpašnieku kopienas veidošanās, kas ir par pamatu izpratnes veidošanai plašākā sabiedrībā par kultūrvēsturiskā būvmantojuma sabiedrisko nozīmi un lomu pilsētvidē, kā arī vēstures un kultūras liecību saglabāšanā cilvēku dzīves vidē.</w:t>
            </w:r>
            <w:r w:rsidR="00EF2EA1">
              <w:rPr>
                <w:rFonts w:ascii="Times New Roman" w:eastAsia="Times New Roman" w:hAnsi="Times New Roman" w:cs="Times New Roman"/>
                <w:color w:val="000000" w:themeColor="text1"/>
                <w:sz w:val="26"/>
                <w:szCs w:val="26"/>
                <w:lang w:eastAsia="lv-LV"/>
              </w:rPr>
              <w:t xml:space="preserve"> </w:t>
            </w:r>
            <w:r w:rsidR="00EF2EA1" w:rsidRPr="00EF2EA1">
              <w:rPr>
                <w:rFonts w:ascii="Times New Roman" w:eastAsia="Times New Roman" w:hAnsi="Times New Roman" w:cs="Times New Roman"/>
                <w:color w:val="000000" w:themeColor="text1"/>
                <w:sz w:val="26"/>
                <w:szCs w:val="26"/>
                <w:lang w:eastAsia="lv-LV"/>
              </w:rPr>
              <w:t>Apmācību dalībnieku apgūtās prasmes koka elementu restaurācijā sekmēs vēsturisku ēku autentiskuma, proti, arhitektūras un vizuālā izskata, saglabāšanu. Pat tad, ja ēkas īpašnieks neizvēlēsies turpmāk atjaunot koka elementus paša spēkiem, iegūtās teorētiskās un praktiskās zināšanas veicinās to, lai ēkas īpašnieks, cik vien iespējams, izvēlētos atjaunot savu īpašumu ar vēsturiskai substancei saudzīgām metodēm, vairāk piesaistot restaurācijas jomas speciālistus.</w:t>
            </w:r>
            <w:r w:rsidR="00A8010B">
              <w:rPr>
                <w:rFonts w:ascii="Times New Roman" w:eastAsia="Times New Roman" w:hAnsi="Times New Roman" w:cs="Times New Roman"/>
                <w:color w:val="000000" w:themeColor="text1"/>
                <w:sz w:val="26"/>
                <w:szCs w:val="26"/>
                <w:lang w:eastAsia="lv-LV"/>
              </w:rPr>
              <w:t xml:space="preserve"> Tātad, no grozāmo saistošo noteikumu mērķa izriet</w:t>
            </w:r>
            <w:r w:rsidR="00820CC6">
              <w:rPr>
                <w:rFonts w:ascii="Times New Roman" w:eastAsia="Times New Roman" w:hAnsi="Times New Roman" w:cs="Times New Roman"/>
                <w:color w:val="000000" w:themeColor="text1"/>
                <w:sz w:val="26"/>
                <w:szCs w:val="26"/>
                <w:lang w:eastAsia="lv-LV"/>
              </w:rPr>
              <w:t>, ka apmācības nav paredzētas personām, kuras vēlas apgūt restaurācijas iemaņas, lai turpmāk sniegt restaurācijas pakalpojumus savas saimnieciskās darbības ietvaros. Tādēļ apmācības nav paredzētas, piemēram, privāto tiesību juridisko personu pārstāvjiem, vai personām, kas rīkojas pamatojoties vēsturiskās ēkas īpašnieka pilnvaru.</w:t>
            </w:r>
          </w:p>
          <w:p w14:paraId="63D65F90" w14:textId="38FCAA1E" w:rsidR="00D865F3" w:rsidRPr="00DF23DD" w:rsidRDefault="00B20753" w:rsidP="00372505">
            <w:pPr>
              <w:shd w:val="clear" w:color="auto" w:fill="FFFFFF"/>
              <w:ind w:firstLine="731"/>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Mērķa sasniegšanai nav piemērojamas alternatīvas, kas neparedz tiesiskā regulējuma izstrādi, jo šāds risinājums būtu pretrunā ar likuma atrunas principu.</w:t>
            </w:r>
          </w:p>
        </w:tc>
      </w:tr>
      <w:tr w:rsidR="00E36152" w14:paraId="6F6E7C67" w14:textId="77777777" w:rsidTr="00DF23DD">
        <w:tc>
          <w:tcPr>
            <w:tcW w:w="9634" w:type="dxa"/>
          </w:tcPr>
          <w:p w14:paraId="01527FE5" w14:textId="02C66937" w:rsidR="007752F6" w:rsidRPr="00DF23DD" w:rsidRDefault="00B20753"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lastRenderedPageBreak/>
              <w:t>2. Fiskālā ietekme uz pašvaldības budžetu, iekļaujot attiecīgus aprēķinus</w:t>
            </w:r>
          </w:p>
          <w:p w14:paraId="111F0E26" w14:textId="7A5EF53A" w:rsidR="00D865F3" w:rsidRPr="00DF23DD" w:rsidRDefault="00820CC6" w:rsidP="00372505">
            <w:pPr>
              <w:shd w:val="clear" w:color="auto" w:fill="FFFFFF"/>
              <w:ind w:firstLine="731"/>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Saistošie noteikumi neietekmēs pašvaldības budžetu</w:t>
            </w:r>
            <w:r w:rsidR="00B20753" w:rsidRPr="00DF23DD">
              <w:rPr>
                <w:rFonts w:ascii="Times New Roman" w:eastAsia="Times New Roman" w:hAnsi="Times New Roman" w:cs="Times New Roman"/>
                <w:color w:val="000000" w:themeColor="text1"/>
                <w:sz w:val="26"/>
                <w:szCs w:val="26"/>
                <w:lang w:eastAsia="lv-LV"/>
              </w:rPr>
              <w:t>.</w:t>
            </w:r>
          </w:p>
        </w:tc>
      </w:tr>
      <w:tr w:rsidR="00E36152" w14:paraId="7EF01694" w14:textId="77777777" w:rsidTr="00DF23DD">
        <w:tc>
          <w:tcPr>
            <w:tcW w:w="9634" w:type="dxa"/>
          </w:tcPr>
          <w:p w14:paraId="15A7EBD1" w14:textId="05B65B68" w:rsidR="007752F6" w:rsidRPr="00DF23DD" w:rsidRDefault="00B20753"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24D7B6C1" w14:textId="6B1D8EFF" w:rsidR="004531B3" w:rsidRPr="00DF23DD" w:rsidRDefault="00820CC6" w:rsidP="004531B3">
            <w:pPr>
              <w:shd w:val="clear" w:color="auto" w:fill="FFFFFF"/>
              <w:ind w:firstLine="731"/>
              <w:jc w:val="both"/>
              <w:rPr>
                <w:rFonts w:ascii="Times New Roman" w:hAnsi="Times New Roman" w:cs="Times New Roman"/>
                <w:sz w:val="26"/>
                <w:szCs w:val="26"/>
              </w:rPr>
            </w:pPr>
            <w:r>
              <w:rPr>
                <w:rFonts w:ascii="Times New Roman" w:hAnsi="Times New Roman" w:cs="Times New Roman"/>
                <w:sz w:val="26"/>
                <w:szCs w:val="26"/>
              </w:rPr>
              <w:t>Saistošie noteikumi paplašinās</w:t>
            </w:r>
            <w:r w:rsidR="00B20753" w:rsidRPr="00DF23DD">
              <w:rPr>
                <w:rFonts w:ascii="Times New Roman" w:hAnsi="Times New Roman" w:cs="Times New Roman"/>
                <w:sz w:val="26"/>
                <w:szCs w:val="26"/>
              </w:rPr>
              <w:t xml:space="preserve"> </w:t>
            </w:r>
            <w:r w:rsidR="00D156B7">
              <w:rPr>
                <w:rFonts w:ascii="Times New Roman" w:hAnsi="Times New Roman" w:cs="Times New Roman"/>
                <w:sz w:val="26"/>
                <w:szCs w:val="26"/>
              </w:rPr>
              <w:t xml:space="preserve">apmācību pretendentu loku un dažādos restaurējamo </w:t>
            </w:r>
            <w:r w:rsidR="00D156B7" w:rsidRPr="00D156B7">
              <w:rPr>
                <w:rFonts w:ascii="Times New Roman" w:hAnsi="Times New Roman" w:cs="Times New Roman"/>
                <w:sz w:val="26"/>
                <w:szCs w:val="26"/>
              </w:rPr>
              <w:t>oriģinālo koka elementu</w:t>
            </w:r>
            <w:r w:rsidR="00D156B7">
              <w:rPr>
                <w:rFonts w:ascii="Times New Roman" w:hAnsi="Times New Roman" w:cs="Times New Roman"/>
                <w:sz w:val="26"/>
                <w:szCs w:val="26"/>
              </w:rPr>
              <w:t xml:space="preserve"> kopu, </w:t>
            </w:r>
            <w:r w:rsidR="0081537D" w:rsidRPr="00DF23DD">
              <w:rPr>
                <w:rFonts w:ascii="Times New Roman" w:hAnsi="Times New Roman" w:cs="Times New Roman"/>
                <w:sz w:val="26"/>
                <w:szCs w:val="26"/>
              </w:rPr>
              <w:t>uzlabo</w:t>
            </w:r>
            <w:r w:rsidR="00D156B7">
              <w:rPr>
                <w:rFonts w:ascii="Times New Roman" w:hAnsi="Times New Roman" w:cs="Times New Roman"/>
                <w:sz w:val="26"/>
                <w:szCs w:val="26"/>
              </w:rPr>
              <w:t>jot</w:t>
            </w:r>
            <w:r w:rsidR="0081537D" w:rsidRPr="00DF23DD">
              <w:rPr>
                <w:rFonts w:ascii="Times New Roman" w:hAnsi="Times New Roman" w:cs="Times New Roman"/>
                <w:sz w:val="26"/>
                <w:szCs w:val="26"/>
              </w:rPr>
              <w:t xml:space="preserve"> </w:t>
            </w:r>
            <w:r w:rsidR="00B20753" w:rsidRPr="00DF23DD">
              <w:rPr>
                <w:rFonts w:ascii="Times New Roman" w:hAnsi="Times New Roman" w:cs="Times New Roman"/>
                <w:sz w:val="26"/>
                <w:szCs w:val="26"/>
              </w:rPr>
              <w:t>pilsētvides kvalitāt</w:t>
            </w:r>
            <w:r w:rsidR="00D156B7">
              <w:rPr>
                <w:rFonts w:ascii="Times New Roman" w:hAnsi="Times New Roman" w:cs="Times New Roman"/>
                <w:sz w:val="26"/>
                <w:szCs w:val="26"/>
              </w:rPr>
              <w:t>i</w:t>
            </w:r>
            <w:r w:rsidR="00B20753" w:rsidRPr="00DF23DD">
              <w:rPr>
                <w:rFonts w:ascii="Times New Roman" w:hAnsi="Times New Roman" w:cs="Times New Roman"/>
                <w:sz w:val="26"/>
                <w:szCs w:val="26"/>
              </w:rPr>
              <w:t xml:space="preserve"> un sabiedrības saikn</w:t>
            </w:r>
            <w:r w:rsidR="00D156B7">
              <w:rPr>
                <w:rFonts w:ascii="Times New Roman" w:hAnsi="Times New Roman" w:cs="Times New Roman"/>
                <w:sz w:val="26"/>
                <w:szCs w:val="26"/>
              </w:rPr>
              <w:t>i</w:t>
            </w:r>
            <w:r w:rsidR="00B20753" w:rsidRPr="00DF23DD">
              <w:rPr>
                <w:rFonts w:ascii="Times New Roman" w:hAnsi="Times New Roman" w:cs="Times New Roman"/>
                <w:sz w:val="26"/>
                <w:szCs w:val="26"/>
              </w:rPr>
              <w:t xml:space="preserve"> ar savu kultūras mantojumu. </w:t>
            </w:r>
          </w:p>
          <w:p w14:paraId="68221798" w14:textId="0D13B211" w:rsidR="00D865F3" w:rsidRPr="00DF23DD" w:rsidRDefault="00B20753" w:rsidP="004531B3">
            <w:pPr>
              <w:shd w:val="clear" w:color="auto" w:fill="FFFFFF"/>
              <w:ind w:firstLine="731"/>
              <w:jc w:val="both"/>
              <w:rPr>
                <w:rFonts w:ascii="Times New Roman" w:eastAsia="Times New Roman" w:hAnsi="Times New Roman" w:cs="Times New Roman"/>
                <w:b/>
                <w:bCs/>
                <w:color w:val="000000" w:themeColor="text1"/>
                <w:sz w:val="26"/>
                <w:szCs w:val="26"/>
                <w:lang w:eastAsia="lv-LV"/>
              </w:rPr>
            </w:pPr>
            <w:r w:rsidRPr="00DF23DD">
              <w:rPr>
                <w:rFonts w:ascii="Times New Roman" w:hAnsi="Times New Roman" w:cs="Times New Roman"/>
                <w:sz w:val="26"/>
                <w:szCs w:val="26"/>
              </w:rPr>
              <w:t>Ja vēsturiskas ēkas tiks s</w:t>
            </w:r>
            <w:r w:rsidR="00321047" w:rsidRPr="00DF23DD">
              <w:rPr>
                <w:rFonts w:ascii="Times New Roman" w:hAnsi="Times New Roman" w:cs="Times New Roman"/>
                <w:sz w:val="26"/>
                <w:szCs w:val="26"/>
              </w:rPr>
              <w:t>aglabā</w:t>
            </w:r>
            <w:r w:rsidRPr="00DF23DD">
              <w:rPr>
                <w:rFonts w:ascii="Times New Roman" w:hAnsi="Times New Roman" w:cs="Times New Roman"/>
                <w:sz w:val="26"/>
                <w:szCs w:val="26"/>
              </w:rPr>
              <w:t>tas</w:t>
            </w:r>
            <w:r w:rsidR="00321047" w:rsidRPr="00DF23DD">
              <w:rPr>
                <w:rFonts w:ascii="Times New Roman" w:hAnsi="Times New Roman" w:cs="Times New Roman"/>
                <w:sz w:val="26"/>
                <w:szCs w:val="26"/>
              </w:rPr>
              <w:t xml:space="preserve"> un atjauno</w:t>
            </w:r>
            <w:r w:rsidRPr="00DF23DD">
              <w:rPr>
                <w:rFonts w:ascii="Times New Roman" w:hAnsi="Times New Roman" w:cs="Times New Roman"/>
                <w:sz w:val="26"/>
                <w:szCs w:val="26"/>
              </w:rPr>
              <w:t>tas</w:t>
            </w:r>
            <w:r w:rsidR="007952D3" w:rsidRPr="00DF23DD">
              <w:rPr>
                <w:rFonts w:ascii="Times New Roman" w:hAnsi="Times New Roman" w:cs="Times New Roman"/>
                <w:sz w:val="26"/>
                <w:szCs w:val="26"/>
              </w:rPr>
              <w:t>,</w:t>
            </w:r>
            <w:r w:rsidR="00321047" w:rsidRPr="00DF23DD">
              <w:rPr>
                <w:rFonts w:ascii="Times New Roman" w:hAnsi="Times New Roman" w:cs="Times New Roman"/>
                <w:sz w:val="26"/>
                <w:szCs w:val="26"/>
              </w:rPr>
              <w:t xml:space="preserve"> t</w:t>
            </w:r>
            <w:r w:rsidRPr="00DF23DD">
              <w:rPr>
                <w:rFonts w:ascii="Times New Roman" w:hAnsi="Times New Roman" w:cs="Times New Roman"/>
                <w:sz w:val="26"/>
                <w:szCs w:val="26"/>
              </w:rPr>
              <w:t>am būs</w:t>
            </w:r>
            <w:r w:rsidR="00321047" w:rsidRPr="00DF23DD">
              <w:rPr>
                <w:rFonts w:ascii="Times New Roman" w:hAnsi="Times New Roman" w:cs="Times New Roman"/>
                <w:sz w:val="26"/>
                <w:szCs w:val="26"/>
              </w:rPr>
              <w:t xml:space="preserve"> pozitīv</w:t>
            </w:r>
            <w:r w:rsidRPr="00DF23DD">
              <w:rPr>
                <w:rFonts w:ascii="Times New Roman" w:hAnsi="Times New Roman" w:cs="Times New Roman"/>
                <w:sz w:val="26"/>
                <w:szCs w:val="26"/>
              </w:rPr>
              <w:t>a ietekme</w:t>
            </w:r>
            <w:r w:rsidR="00321047" w:rsidRPr="00DF23DD">
              <w:rPr>
                <w:rFonts w:ascii="Times New Roman" w:hAnsi="Times New Roman" w:cs="Times New Roman"/>
                <w:sz w:val="26"/>
                <w:szCs w:val="26"/>
              </w:rPr>
              <w:t xml:space="preserve"> uz tūrisma infrastruktūras un kultūras sfēras attīstību.</w:t>
            </w:r>
          </w:p>
        </w:tc>
      </w:tr>
      <w:tr w:rsidR="00E36152" w14:paraId="6251B64A" w14:textId="77777777" w:rsidTr="00DF23DD">
        <w:tc>
          <w:tcPr>
            <w:tcW w:w="9634" w:type="dxa"/>
          </w:tcPr>
          <w:p w14:paraId="50703145" w14:textId="3FDD459A" w:rsidR="007752F6" w:rsidRPr="00DF23DD" w:rsidRDefault="00B20753" w:rsidP="00CD5B22">
            <w:pPr>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1D9D0E5E" w14:textId="60772B61"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Saistošo noteikumu piemērošanas jautājumos kompetentā iestāde ir departaments.</w:t>
            </w:r>
          </w:p>
          <w:p w14:paraId="2D3CE971" w14:textId="77777777"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Saistošo noteikumu ietvaros īstenojamās procedūras galvenie posmi ir:</w:t>
            </w:r>
          </w:p>
          <w:p w14:paraId="14D45DDC" w14:textId="7B89BFBB"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 xml:space="preserve">- departamenta </w:t>
            </w:r>
            <w:r w:rsidR="0081537D" w:rsidRPr="00DF23DD">
              <w:rPr>
                <w:rFonts w:ascii="Times New Roman" w:eastAsia="Times New Roman" w:hAnsi="Times New Roman" w:cs="Times New Roman"/>
                <w:color w:val="000000" w:themeColor="text1"/>
                <w:sz w:val="26"/>
                <w:szCs w:val="26"/>
                <w:lang w:eastAsia="lv-LV"/>
              </w:rPr>
              <w:t xml:space="preserve">nolikuma par apmācību </w:t>
            </w:r>
            <w:r w:rsidRPr="00DF23DD">
              <w:rPr>
                <w:rFonts w:ascii="Times New Roman" w:eastAsia="Times New Roman" w:hAnsi="Times New Roman" w:cs="Times New Roman"/>
                <w:color w:val="000000" w:themeColor="text1"/>
                <w:sz w:val="26"/>
                <w:szCs w:val="26"/>
                <w:lang w:eastAsia="lv-LV"/>
              </w:rPr>
              <w:t>organizēšanas procesu</w:t>
            </w:r>
            <w:r w:rsidR="0081537D" w:rsidRPr="00DF23DD">
              <w:rPr>
                <w:rFonts w:ascii="Times New Roman" w:eastAsia="Times New Roman" w:hAnsi="Times New Roman" w:cs="Times New Roman"/>
                <w:color w:val="000000" w:themeColor="text1"/>
                <w:sz w:val="26"/>
                <w:szCs w:val="26"/>
                <w:lang w:eastAsia="lv-LV"/>
              </w:rPr>
              <w:t xml:space="preserve"> </w:t>
            </w:r>
            <w:r w:rsidRPr="00DF23DD">
              <w:rPr>
                <w:rFonts w:ascii="Times New Roman" w:eastAsia="Times New Roman" w:hAnsi="Times New Roman" w:cs="Times New Roman"/>
                <w:color w:val="000000" w:themeColor="text1"/>
                <w:sz w:val="26"/>
                <w:szCs w:val="26"/>
                <w:lang w:eastAsia="lv-LV"/>
              </w:rPr>
              <w:t xml:space="preserve">projekta sagatavošana,  </w:t>
            </w:r>
            <w:r w:rsidR="00F3161A" w:rsidRPr="00DF23DD">
              <w:rPr>
                <w:rFonts w:ascii="Times New Roman" w:eastAsia="Times New Roman" w:hAnsi="Times New Roman" w:cs="Times New Roman"/>
                <w:color w:val="000000" w:themeColor="text1"/>
                <w:sz w:val="26"/>
                <w:szCs w:val="26"/>
                <w:lang w:eastAsia="lv-LV"/>
              </w:rPr>
              <w:t xml:space="preserve">nolikuma </w:t>
            </w:r>
            <w:r w:rsidRPr="00DF23DD">
              <w:rPr>
                <w:rFonts w:ascii="Times New Roman" w:eastAsia="Times New Roman" w:hAnsi="Times New Roman" w:cs="Times New Roman"/>
                <w:color w:val="000000" w:themeColor="text1"/>
                <w:sz w:val="26"/>
                <w:szCs w:val="26"/>
                <w:lang w:eastAsia="lv-LV"/>
              </w:rPr>
              <w:t>izdošana un publicēšana;</w:t>
            </w:r>
          </w:p>
          <w:p w14:paraId="3221712D" w14:textId="7008EDD7"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 apmācību pretendentu sagatavotu pieteikumu iesniegšana iestādē departamenta paziņojumā par apmācību rīkošanu noteiktajā termiņā;</w:t>
            </w:r>
          </w:p>
          <w:p w14:paraId="47FFA44A" w14:textId="4F3B38C2"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 pretendentu pieteikumu izvērtēšana un apstiprināšana ar departamenta lēmumu, ievērojot</w:t>
            </w:r>
            <w:r w:rsidRPr="00DF23DD">
              <w:t xml:space="preserve"> </w:t>
            </w:r>
            <w:r w:rsidRPr="00DF23DD">
              <w:rPr>
                <w:rFonts w:ascii="Times New Roman" w:eastAsia="Times New Roman" w:hAnsi="Times New Roman" w:cs="Times New Roman"/>
                <w:color w:val="000000" w:themeColor="text1"/>
                <w:sz w:val="26"/>
                <w:szCs w:val="26"/>
                <w:lang w:eastAsia="lv-LV"/>
              </w:rPr>
              <w:t>departamenta nolikumā noteikto apmācību dalībnieku skaitu;</w:t>
            </w:r>
          </w:p>
          <w:p w14:paraId="354E75AA" w14:textId="77777777"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lastRenderedPageBreak/>
              <w:t>- pārējo pieteikumu noraidīšana ar departamenta lēmumu;</w:t>
            </w:r>
          </w:p>
          <w:p w14:paraId="1E04B8E0" w14:textId="77777777"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 apmācību līguma noslēgšana un apmācību īstenošana atbilstoši tā nosacījumiem;</w:t>
            </w:r>
          </w:p>
          <w:p w14:paraId="3635331B" w14:textId="783DE49F"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 apmācību īstenošanas</w:t>
            </w:r>
            <w:r w:rsidR="00C47ADD" w:rsidRPr="00DF23DD">
              <w:rPr>
                <w:rFonts w:ascii="Times New Roman" w:eastAsia="Times New Roman" w:hAnsi="Times New Roman" w:cs="Times New Roman"/>
                <w:color w:val="000000" w:themeColor="text1"/>
                <w:sz w:val="26"/>
                <w:szCs w:val="26"/>
                <w:lang w:eastAsia="lv-LV"/>
              </w:rPr>
              <w:t xml:space="preserve"> </w:t>
            </w:r>
            <w:r w:rsidRPr="00DF23DD">
              <w:rPr>
                <w:rFonts w:ascii="Times New Roman" w:eastAsia="Times New Roman" w:hAnsi="Times New Roman" w:cs="Times New Roman"/>
                <w:color w:val="000000" w:themeColor="text1"/>
                <w:sz w:val="26"/>
                <w:szCs w:val="26"/>
                <w:lang w:eastAsia="lv-LV"/>
              </w:rPr>
              <w:t>(izpildes)</w:t>
            </w:r>
            <w:r w:rsidR="007A3AC9" w:rsidRPr="00DF23DD">
              <w:rPr>
                <w:rFonts w:ascii="Times New Roman" w:eastAsia="Times New Roman" w:hAnsi="Times New Roman" w:cs="Times New Roman"/>
                <w:color w:val="000000" w:themeColor="text1"/>
                <w:sz w:val="26"/>
                <w:szCs w:val="26"/>
                <w:lang w:eastAsia="lv-LV"/>
              </w:rPr>
              <w:t xml:space="preserve"> un līguma izpildes</w:t>
            </w:r>
            <w:r w:rsidRPr="00DF23DD">
              <w:rPr>
                <w:rFonts w:ascii="Times New Roman" w:eastAsia="Times New Roman" w:hAnsi="Times New Roman" w:cs="Times New Roman"/>
                <w:color w:val="000000" w:themeColor="text1"/>
                <w:sz w:val="26"/>
                <w:szCs w:val="26"/>
                <w:lang w:eastAsia="lv-LV"/>
              </w:rPr>
              <w:t xml:space="preserve"> dokumentācijas iesniegšana un tās novērtēšana departamentā, kompensācijas maksājuma saņemšana</w:t>
            </w:r>
            <w:r w:rsidR="00C47ADD" w:rsidRPr="00DF23DD">
              <w:rPr>
                <w:rFonts w:ascii="Times New Roman" w:eastAsia="Times New Roman" w:hAnsi="Times New Roman" w:cs="Times New Roman"/>
                <w:color w:val="000000" w:themeColor="text1"/>
                <w:sz w:val="26"/>
                <w:szCs w:val="26"/>
                <w:lang w:eastAsia="lv-LV"/>
              </w:rPr>
              <w:t>, ja izpildīti visi līguma nosacījumi.</w:t>
            </w:r>
          </w:p>
          <w:p w14:paraId="31F66275" w14:textId="7B3BD936" w:rsidR="00261B26" w:rsidRPr="00DF23DD" w:rsidRDefault="00B20753" w:rsidP="00261B26">
            <w:pPr>
              <w:ind w:firstLine="731"/>
              <w:jc w:val="both"/>
              <w:rPr>
                <w:rFonts w:ascii="Times New Roman" w:eastAsia="Times New Roman" w:hAnsi="Times New Roman" w:cs="Times New Roman"/>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Apmācību pretendentu administratīvās izmaksas ir nebūtiskas, jo apmācību pieteikuma saturu neveidos dokumenti, kuru sagatavošanai pretendentam iepriekš būtu jāveic kādas administratīvas procedūras.</w:t>
            </w:r>
          </w:p>
          <w:p w14:paraId="0C959A6B" w14:textId="5A33C06E" w:rsidR="00D865F3" w:rsidRPr="00DF23DD" w:rsidRDefault="00B20753" w:rsidP="00372505">
            <w:pPr>
              <w:ind w:firstLine="731"/>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Pašvaldības izmaksas ir atkarīgas no apstiprināto apmācību dalībnieku skaita,</w:t>
            </w:r>
            <w:r w:rsidRPr="00DF23DD">
              <w:t xml:space="preserve"> </w:t>
            </w:r>
            <w:r w:rsidRPr="00DF23DD">
              <w:rPr>
                <w:rFonts w:ascii="Times New Roman" w:eastAsia="Times New Roman" w:hAnsi="Times New Roman" w:cs="Times New Roman"/>
                <w:color w:val="000000" w:themeColor="text1"/>
                <w:sz w:val="26"/>
                <w:szCs w:val="26"/>
                <w:lang w:eastAsia="lv-LV"/>
              </w:rPr>
              <w:t>kā arī no dalībnieku</w:t>
            </w:r>
            <w:r w:rsidR="00C47ADD" w:rsidRPr="00DF23DD">
              <w:rPr>
                <w:rFonts w:ascii="Times New Roman" w:eastAsia="Times New Roman" w:hAnsi="Times New Roman" w:cs="Times New Roman"/>
                <w:color w:val="000000" w:themeColor="text1"/>
                <w:sz w:val="26"/>
                <w:szCs w:val="26"/>
                <w:lang w:eastAsia="lv-LV"/>
              </w:rPr>
              <w:t xml:space="preserve"> </w:t>
            </w:r>
            <w:r w:rsidRPr="00DF23DD">
              <w:rPr>
                <w:rFonts w:ascii="Times New Roman" w:eastAsia="Times New Roman" w:hAnsi="Times New Roman" w:cs="Times New Roman"/>
                <w:color w:val="000000" w:themeColor="text1"/>
                <w:sz w:val="26"/>
                <w:szCs w:val="26"/>
                <w:lang w:eastAsia="lv-LV"/>
              </w:rPr>
              <w:t>skait</w:t>
            </w:r>
            <w:r w:rsidR="00C47ADD" w:rsidRPr="00DF23DD">
              <w:rPr>
                <w:rFonts w:ascii="Times New Roman" w:eastAsia="Times New Roman" w:hAnsi="Times New Roman" w:cs="Times New Roman"/>
                <w:color w:val="000000" w:themeColor="text1"/>
                <w:sz w:val="26"/>
                <w:szCs w:val="26"/>
                <w:lang w:eastAsia="lv-LV"/>
              </w:rPr>
              <w:t>a</w:t>
            </w:r>
            <w:r w:rsidRPr="00DF23DD">
              <w:rPr>
                <w:rFonts w:ascii="Times New Roman" w:eastAsia="Times New Roman" w:hAnsi="Times New Roman" w:cs="Times New Roman"/>
                <w:color w:val="000000" w:themeColor="text1"/>
                <w:sz w:val="26"/>
                <w:szCs w:val="26"/>
                <w:lang w:eastAsia="lv-LV"/>
              </w:rPr>
              <w:t>, kas atbilstoši noslēgtajam līgumam īstenos apmācības.</w:t>
            </w:r>
          </w:p>
        </w:tc>
      </w:tr>
      <w:tr w:rsidR="00E36152" w14:paraId="280F62ED" w14:textId="77777777" w:rsidTr="00DF23DD">
        <w:tc>
          <w:tcPr>
            <w:tcW w:w="9634" w:type="dxa"/>
          </w:tcPr>
          <w:p w14:paraId="22CAF928" w14:textId="26C3EDDA" w:rsidR="007752F6" w:rsidRPr="00DF23DD" w:rsidRDefault="00B20753" w:rsidP="00CD5B22">
            <w:pPr>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lastRenderedPageBreak/>
              <w:t>5. Ietekme uz pašvaldības funkcijām un cilvēkresursiem</w:t>
            </w:r>
          </w:p>
          <w:p w14:paraId="1D963F84" w14:textId="7A1C4701" w:rsidR="00D865F3" w:rsidRPr="00DF23DD" w:rsidRDefault="00B20753" w:rsidP="00372505">
            <w:pPr>
              <w:ind w:firstLine="731"/>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Saistošo noteikumu izpildei nav nepieciešams veidot jaunas pašvaldības institūcijas, darba vietas vai paplašināt esošo institūciju kompetenci.</w:t>
            </w:r>
          </w:p>
        </w:tc>
      </w:tr>
      <w:tr w:rsidR="00E36152" w14:paraId="54A43D2F" w14:textId="77777777" w:rsidTr="00DF23DD">
        <w:tc>
          <w:tcPr>
            <w:tcW w:w="9634" w:type="dxa"/>
          </w:tcPr>
          <w:p w14:paraId="2D2D120D" w14:textId="554D7259" w:rsidR="007752F6" w:rsidRPr="00DF23DD" w:rsidRDefault="00B20753" w:rsidP="00F10E25">
            <w:pPr>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t>6. Izpildes nodrošināšana</w:t>
            </w:r>
          </w:p>
          <w:p w14:paraId="255BFA76" w14:textId="48059B59" w:rsidR="00D865F3" w:rsidRPr="00DF23DD" w:rsidRDefault="00B20753" w:rsidP="00372505">
            <w:pPr>
              <w:ind w:firstLine="731"/>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color w:val="000000" w:themeColor="text1"/>
                <w:sz w:val="26"/>
                <w:szCs w:val="26"/>
                <w:lang w:eastAsia="lv-LV"/>
              </w:rPr>
              <w:t>Saistošo noteikumu izpildi nodrošinās departaments.</w:t>
            </w:r>
          </w:p>
        </w:tc>
      </w:tr>
      <w:tr w:rsidR="00E36152" w14:paraId="54C9558D" w14:textId="77777777" w:rsidTr="00DF23DD">
        <w:tc>
          <w:tcPr>
            <w:tcW w:w="9634" w:type="dxa"/>
          </w:tcPr>
          <w:p w14:paraId="7BCC7547" w14:textId="17289A66" w:rsidR="007752F6" w:rsidRPr="00DF23DD" w:rsidRDefault="00B20753" w:rsidP="00444237">
            <w:pPr>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67AC3710" w14:textId="39006563" w:rsidR="00D865F3" w:rsidRPr="00DF23DD" w:rsidRDefault="00B20753" w:rsidP="00D77866">
            <w:pPr>
              <w:ind w:firstLine="731"/>
              <w:jc w:val="both"/>
              <w:rPr>
                <w:rFonts w:ascii="Times New Roman" w:eastAsia="Times New Roman" w:hAnsi="Times New Roman" w:cs="Times New Roman"/>
                <w:b/>
                <w:bCs/>
                <w:color w:val="000000" w:themeColor="text1"/>
                <w:sz w:val="26"/>
                <w:szCs w:val="26"/>
                <w:lang w:eastAsia="lv-LV"/>
              </w:rPr>
            </w:pPr>
            <w:r w:rsidRPr="00DF23DD">
              <w:rPr>
                <w:rFonts w:ascii="Times New Roman" w:hAnsi="Times New Roman" w:cs="Times New Roman"/>
                <w:sz w:val="26"/>
                <w:szCs w:val="26"/>
              </w:rPr>
              <w:t>Saistošajos noteikumos izvirzītās prasības atbilst augstāka juridiskā spēka normatīvajam aktam. Saistošie noteikumi neparedz papildu ierobežojumus privātpersonām, tādējādi nav nepieciešams veikt samērīguma pārbaudi.</w:t>
            </w:r>
          </w:p>
        </w:tc>
      </w:tr>
      <w:tr w:rsidR="00E36152" w14:paraId="1996B93B" w14:textId="77777777" w:rsidTr="00DF23DD">
        <w:tc>
          <w:tcPr>
            <w:tcW w:w="9634" w:type="dxa"/>
          </w:tcPr>
          <w:p w14:paraId="038C6057" w14:textId="0BB7FB46" w:rsidR="007752F6" w:rsidRPr="00DF23DD" w:rsidRDefault="00B20753" w:rsidP="00444237">
            <w:pPr>
              <w:jc w:val="both"/>
              <w:rPr>
                <w:rFonts w:ascii="Times New Roman" w:eastAsia="Times New Roman" w:hAnsi="Times New Roman" w:cs="Times New Roman"/>
                <w:b/>
                <w:bCs/>
                <w:color w:val="000000" w:themeColor="text1"/>
                <w:sz w:val="26"/>
                <w:szCs w:val="26"/>
                <w:lang w:eastAsia="lv-LV"/>
              </w:rPr>
            </w:pPr>
            <w:r w:rsidRPr="00DF23DD">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A03A9D3" w14:textId="5830662A" w:rsidR="00D865F3" w:rsidRPr="00DF23DD" w:rsidRDefault="0027235C" w:rsidP="0027235C">
            <w:pPr>
              <w:ind w:firstLine="731"/>
              <w:jc w:val="both"/>
              <w:rPr>
                <w:rFonts w:ascii="Times New Roman" w:eastAsia="Times New Roman" w:hAnsi="Times New Roman" w:cs="Times New Roman"/>
                <w:b/>
                <w:bCs/>
                <w:color w:val="000000" w:themeColor="text1"/>
                <w:sz w:val="26"/>
                <w:szCs w:val="26"/>
                <w:lang w:eastAsia="lv-LV"/>
              </w:rPr>
            </w:pPr>
            <w:r w:rsidRPr="00A65BF0">
              <w:rPr>
                <w:rFonts w:ascii="Times New Roman" w:eastAsia="Times New Roman" w:hAnsi="Times New Roman" w:cs="Times New Roman"/>
                <w:color w:val="000000" w:themeColor="text1"/>
                <w:sz w:val="26"/>
                <w:szCs w:val="26"/>
                <w:lang w:eastAsia="lv-LV"/>
              </w:rPr>
              <w:t xml:space="preserve">Saistošo noteikumu projekts </w:t>
            </w:r>
            <w:r>
              <w:rPr>
                <w:rFonts w:ascii="Times New Roman" w:eastAsia="Times New Roman" w:hAnsi="Times New Roman" w:cs="Times New Roman"/>
                <w:color w:val="000000" w:themeColor="text1"/>
                <w:sz w:val="26"/>
                <w:szCs w:val="26"/>
                <w:lang w:eastAsia="lv-LV"/>
              </w:rPr>
              <w:t>ir</w:t>
            </w:r>
            <w:r w:rsidRPr="00A65BF0">
              <w:rPr>
                <w:rFonts w:ascii="Times New Roman" w:eastAsia="Times New Roman" w:hAnsi="Times New Roman" w:cs="Times New Roman"/>
                <w:color w:val="000000" w:themeColor="text1"/>
                <w:sz w:val="26"/>
                <w:szCs w:val="26"/>
                <w:lang w:eastAsia="lv-LV"/>
              </w:rPr>
              <w:t xml:space="preserve"> nodots sabiedrības viedokļa noskaidrošanai pašvaldības</w:t>
            </w:r>
            <w:r>
              <w:rPr>
                <w:rFonts w:ascii="Times New Roman" w:eastAsia="Times New Roman" w:hAnsi="Times New Roman" w:cs="Times New Roman"/>
                <w:color w:val="000000" w:themeColor="text1"/>
                <w:sz w:val="26"/>
                <w:szCs w:val="26"/>
                <w:lang w:eastAsia="lv-LV"/>
              </w:rPr>
              <w:t xml:space="preserve"> oficiālās</w:t>
            </w:r>
            <w:r w:rsidRPr="00A65BF0">
              <w:rPr>
                <w:rFonts w:ascii="Times New Roman" w:eastAsia="Times New Roman" w:hAnsi="Times New Roman" w:cs="Times New Roman"/>
                <w:color w:val="000000" w:themeColor="text1"/>
                <w:sz w:val="26"/>
                <w:szCs w:val="26"/>
                <w:lang w:eastAsia="lv-LV"/>
              </w:rPr>
              <w:t xml:space="preserve"> tīmekļvietnes sadaļā </w:t>
            </w:r>
            <w:hyperlink r:id="rId7" w:history="1">
              <w:r w:rsidRPr="004C4C58">
                <w:rPr>
                  <w:rStyle w:val="Hipersaite"/>
                  <w:rFonts w:ascii="Times New Roman" w:eastAsia="Times New Roman" w:hAnsi="Times New Roman" w:cs="Times New Roman"/>
                  <w:sz w:val="26"/>
                  <w:szCs w:val="26"/>
                  <w:lang w:eastAsia="lv-LV"/>
                </w:rPr>
                <w:t>https://www.riga.lv/lv/saistoso-noteikumu-projekti</w:t>
              </w:r>
            </w:hyperlink>
            <w:r w:rsidRPr="00A65BF0">
              <w:rPr>
                <w:rFonts w:ascii="Times New Roman" w:eastAsia="Times New Roman" w:hAnsi="Times New Roman" w:cs="Times New Roman"/>
                <w:color w:val="000000" w:themeColor="text1"/>
                <w:sz w:val="26"/>
                <w:szCs w:val="26"/>
                <w:lang w:eastAsia="lv-LV"/>
              </w:rPr>
              <w:t>.</w:t>
            </w:r>
          </w:p>
        </w:tc>
      </w:tr>
    </w:tbl>
    <w:p w14:paraId="06C29EBE" w14:textId="77777777" w:rsidR="007752F6" w:rsidRPr="00DF23DD" w:rsidRDefault="007752F6" w:rsidP="00F10E25">
      <w:pPr>
        <w:shd w:val="clear" w:color="auto" w:fill="FFFFFF"/>
        <w:spacing w:after="0" w:line="240" w:lineRule="auto"/>
        <w:rPr>
          <w:rFonts w:ascii="Times New Roman" w:eastAsia="Times New Roman" w:hAnsi="Times New Roman" w:cs="Times New Roman"/>
          <w:sz w:val="26"/>
          <w:szCs w:val="26"/>
          <w:lang w:eastAsia="lv-LV"/>
        </w:rPr>
      </w:pPr>
    </w:p>
    <w:p w14:paraId="11EFBF71" w14:textId="35900FF1" w:rsidR="00D865F3" w:rsidRPr="00DF23DD" w:rsidRDefault="00D865F3" w:rsidP="00F10E25">
      <w:pPr>
        <w:spacing w:after="0" w:line="240" w:lineRule="auto"/>
        <w:rPr>
          <w:rFonts w:ascii="Times New Roman" w:hAnsi="Times New Roman" w:cs="Times New Roman"/>
          <w:sz w:val="26"/>
          <w:szCs w:val="26"/>
        </w:rPr>
      </w:pPr>
    </w:p>
    <w:p w14:paraId="13035B6D" w14:textId="02D71335" w:rsidR="00D865F3" w:rsidRPr="00DF23DD" w:rsidRDefault="00D865F3" w:rsidP="00F10E25">
      <w:pPr>
        <w:spacing w:after="0" w:line="240" w:lineRule="auto"/>
        <w:rPr>
          <w:rFonts w:ascii="Times New Roman" w:hAnsi="Times New Roman" w:cs="Times New Roman"/>
          <w:sz w:val="26"/>
          <w:szCs w:val="26"/>
        </w:rPr>
      </w:pPr>
    </w:p>
    <w:sectPr w:rsidR="00D865F3" w:rsidRPr="00DF23DD" w:rsidSect="00DF23DD">
      <w:headerReference w:type="default" r:id="rId8"/>
      <w:footerReference w:type="default" r:id="rId9"/>
      <w:footerReference w:type="first" r:id="rId10"/>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7FF7" w14:textId="77777777" w:rsidR="00667AA3" w:rsidRDefault="00B20753">
      <w:pPr>
        <w:spacing w:after="0" w:line="240" w:lineRule="auto"/>
      </w:pPr>
      <w:r>
        <w:separator/>
      </w:r>
    </w:p>
  </w:endnote>
  <w:endnote w:type="continuationSeparator" w:id="0">
    <w:p w14:paraId="2F464760" w14:textId="77777777" w:rsidR="00667AA3" w:rsidRDefault="00B2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B385" w14:textId="041819B8" w:rsidR="00945225" w:rsidRDefault="0094522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0EC6" w14:textId="38BEA04A" w:rsidR="00945225" w:rsidRDefault="0094522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9325" w14:textId="77777777" w:rsidR="00667AA3" w:rsidRDefault="00B20753">
      <w:pPr>
        <w:spacing w:after="0" w:line="240" w:lineRule="auto"/>
      </w:pPr>
      <w:r>
        <w:separator/>
      </w:r>
    </w:p>
  </w:footnote>
  <w:footnote w:type="continuationSeparator" w:id="0">
    <w:p w14:paraId="7ED77271" w14:textId="77777777" w:rsidR="00667AA3" w:rsidRDefault="00B2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B20753">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C7F2C"/>
    <w:multiLevelType w:val="hybridMultilevel"/>
    <w:tmpl w:val="10E0C2A8"/>
    <w:lvl w:ilvl="0" w:tplc="F0E891EC">
      <w:start w:val="1"/>
      <w:numFmt w:val="decimal"/>
      <w:lvlText w:val="%1."/>
      <w:lvlJc w:val="left"/>
      <w:pPr>
        <w:ind w:left="720" w:hanging="360"/>
      </w:pPr>
    </w:lvl>
    <w:lvl w:ilvl="1" w:tplc="72D85E3A">
      <w:start w:val="1"/>
      <w:numFmt w:val="lowerLetter"/>
      <w:lvlText w:val="%2."/>
      <w:lvlJc w:val="left"/>
      <w:pPr>
        <w:ind w:left="1440" w:hanging="360"/>
      </w:pPr>
    </w:lvl>
    <w:lvl w:ilvl="2" w:tplc="4F8656A8" w:tentative="1">
      <w:start w:val="1"/>
      <w:numFmt w:val="lowerRoman"/>
      <w:lvlText w:val="%3."/>
      <w:lvlJc w:val="right"/>
      <w:pPr>
        <w:ind w:left="2160" w:hanging="180"/>
      </w:pPr>
    </w:lvl>
    <w:lvl w:ilvl="3" w:tplc="ECB6C748" w:tentative="1">
      <w:start w:val="1"/>
      <w:numFmt w:val="decimal"/>
      <w:lvlText w:val="%4."/>
      <w:lvlJc w:val="left"/>
      <w:pPr>
        <w:ind w:left="2880" w:hanging="360"/>
      </w:pPr>
    </w:lvl>
    <w:lvl w:ilvl="4" w:tplc="A0DC9208" w:tentative="1">
      <w:start w:val="1"/>
      <w:numFmt w:val="lowerLetter"/>
      <w:lvlText w:val="%5."/>
      <w:lvlJc w:val="left"/>
      <w:pPr>
        <w:ind w:left="3600" w:hanging="360"/>
      </w:pPr>
    </w:lvl>
    <w:lvl w:ilvl="5" w:tplc="B462BB14" w:tentative="1">
      <w:start w:val="1"/>
      <w:numFmt w:val="lowerRoman"/>
      <w:lvlText w:val="%6."/>
      <w:lvlJc w:val="right"/>
      <w:pPr>
        <w:ind w:left="4320" w:hanging="180"/>
      </w:pPr>
    </w:lvl>
    <w:lvl w:ilvl="6" w:tplc="7F2AE1D2" w:tentative="1">
      <w:start w:val="1"/>
      <w:numFmt w:val="decimal"/>
      <w:lvlText w:val="%7."/>
      <w:lvlJc w:val="left"/>
      <w:pPr>
        <w:ind w:left="5040" w:hanging="360"/>
      </w:pPr>
    </w:lvl>
    <w:lvl w:ilvl="7" w:tplc="EEC49B52" w:tentative="1">
      <w:start w:val="1"/>
      <w:numFmt w:val="lowerLetter"/>
      <w:lvlText w:val="%8."/>
      <w:lvlJc w:val="left"/>
      <w:pPr>
        <w:ind w:left="5760" w:hanging="360"/>
      </w:pPr>
    </w:lvl>
    <w:lvl w:ilvl="8" w:tplc="0B342704" w:tentative="1">
      <w:start w:val="1"/>
      <w:numFmt w:val="lowerRoman"/>
      <w:lvlText w:val="%9."/>
      <w:lvlJc w:val="right"/>
      <w:pPr>
        <w:ind w:left="6480" w:hanging="180"/>
      </w:pPr>
    </w:lvl>
  </w:abstractNum>
  <w:abstractNum w:abstractNumId="1" w15:restartNumberingAfterBreak="0">
    <w:nsid w:val="7E5A0C1E"/>
    <w:multiLevelType w:val="hybridMultilevel"/>
    <w:tmpl w:val="20B2CA22"/>
    <w:lvl w:ilvl="0" w:tplc="91DE68F0">
      <w:start w:val="1"/>
      <w:numFmt w:val="decimal"/>
      <w:lvlText w:val="%1."/>
      <w:lvlJc w:val="left"/>
      <w:pPr>
        <w:ind w:left="720" w:hanging="360"/>
      </w:pPr>
      <w:rPr>
        <w:rFonts w:hint="default"/>
      </w:rPr>
    </w:lvl>
    <w:lvl w:ilvl="1" w:tplc="16A4FA20" w:tentative="1">
      <w:start w:val="1"/>
      <w:numFmt w:val="lowerLetter"/>
      <w:lvlText w:val="%2."/>
      <w:lvlJc w:val="left"/>
      <w:pPr>
        <w:ind w:left="1440" w:hanging="360"/>
      </w:pPr>
    </w:lvl>
    <w:lvl w:ilvl="2" w:tplc="39AE3D08" w:tentative="1">
      <w:start w:val="1"/>
      <w:numFmt w:val="lowerRoman"/>
      <w:lvlText w:val="%3."/>
      <w:lvlJc w:val="right"/>
      <w:pPr>
        <w:ind w:left="2160" w:hanging="180"/>
      </w:pPr>
    </w:lvl>
    <w:lvl w:ilvl="3" w:tplc="D24C26EE" w:tentative="1">
      <w:start w:val="1"/>
      <w:numFmt w:val="decimal"/>
      <w:lvlText w:val="%4."/>
      <w:lvlJc w:val="left"/>
      <w:pPr>
        <w:ind w:left="2880" w:hanging="360"/>
      </w:pPr>
    </w:lvl>
    <w:lvl w:ilvl="4" w:tplc="D5B4DEA2" w:tentative="1">
      <w:start w:val="1"/>
      <w:numFmt w:val="lowerLetter"/>
      <w:lvlText w:val="%5."/>
      <w:lvlJc w:val="left"/>
      <w:pPr>
        <w:ind w:left="3600" w:hanging="360"/>
      </w:pPr>
    </w:lvl>
    <w:lvl w:ilvl="5" w:tplc="6F2A2094" w:tentative="1">
      <w:start w:val="1"/>
      <w:numFmt w:val="lowerRoman"/>
      <w:lvlText w:val="%6."/>
      <w:lvlJc w:val="right"/>
      <w:pPr>
        <w:ind w:left="4320" w:hanging="180"/>
      </w:pPr>
    </w:lvl>
    <w:lvl w:ilvl="6" w:tplc="42540B76" w:tentative="1">
      <w:start w:val="1"/>
      <w:numFmt w:val="decimal"/>
      <w:lvlText w:val="%7."/>
      <w:lvlJc w:val="left"/>
      <w:pPr>
        <w:ind w:left="5040" w:hanging="360"/>
      </w:pPr>
    </w:lvl>
    <w:lvl w:ilvl="7" w:tplc="25AE006C" w:tentative="1">
      <w:start w:val="1"/>
      <w:numFmt w:val="lowerLetter"/>
      <w:lvlText w:val="%8."/>
      <w:lvlJc w:val="left"/>
      <w:pPr>
        <w:ind w:left="5760" w:hanging="360"/>
      </w:pPr>
    </w:lvl>
    <w:lvl w:ilvl="8" w:tplc="909A1188" w:tentative="1">
      <w:start w:val="1"/>
      <w:numFmt w:val="lowerRoman"/>
      <w:lvlText w:val="%9."/>
      <w:lvlJc w:val="right"/>
      <w:pPr>
        <w:ind w:left="6480" w:hanging="180"/>
      </w:pPr>
    </w:lvl>
  </w:abstractNum>
  <w:num w:numId="1" w16cid:durableId="1581334406">
    <w:abstractNumId w:val="1"/>
  </w:num>
  <w:num w:numId="2" w16cid:durableId="48798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216B4"/>
    <w:rsid w:val="000A1715"/>
    <w:rsid w:val="000B644B"/>
    <w:rsid w:val="0015685B"/>
    <w:rsid w:val="001A4A24"/>
    <w:rsid w:val="001B2014"/>
    <w:rsid w:val="002012E7"/>
    <w:rsid w:val="00234596"/>
    <w:rsid w:val="00261B26"/>
    <w:rsid w:val="00271D86"/>
    <w:rsid w:val="0027235C"/>
    <w:rsid w:val="00277397"/>
    <w:rsid w:val="002A336C"/>
    <w:rsid w:val="002F56BC"/>
    <w:rsid w:val="00321047"/>
    <w:rsid w:val="00351B11"/>
    <w:rsid w:val="00357B15"/>
    <w:rsid w:val="00371362"/>
    <w:rsid w:val="00372505"/>
    <w:rsid w:val="00372D54"/>
    <w:rsid w:val="00385228"/>
    <w:rsid w:val="003D1D7D"/>
    <w:rsid w:val="004172F6"/>
    <w:rsid w:val="004267DC"/>
    <w:rsid w:val="00444237"/>
    <w:rsid w:val="004531B3"/>
    <w:rsid w:val="00464AA1"/>
    <w:rsid w:val="004C4D72"/>
    <w:rsid w:val="004D0384"/>
    <w:rsid w:val="004E17DC"/>
    <w:rsid w:val="004E403B"/>
    <w:rsid w:val="004E582F"/>
    <w:rsid w:val="0052751C"/>
    <w:rsid w:val="00575BD8"/>
    <w:rsid w:val="0059770F"/>
    <w:rsid w:val="005A0FC3"/>
    <w:rsid w:val="005B2A8F"/>
    <w:rsid w:val="005E33E0"/>
    <w:rsid w:val="005E553C"/>
    <w:rsid w:val="00640E55"/>
    <w:rsid w:val="00641B27"/>
    <w:rsid w:val="00667AA3"/>
    <w:rsid w:val="00690D23"/>
    <w:rsid w:val="006B7F6A"/>
    <w:rsid w:val="006D5FBC"/>
    <w:rsid w:val="006E6949"/>
    <w:rsid w:val="00714BD8"/>
    <w:rsid w:val="00751899"/>
    <w:rsid w:val="007735D1"/>
    <w:rsid w:val="007752F6"/>
    <w:rsid w:val="007952D3"/>
    <w:rsid w:val="007A3AC9"/>
    <w:rsid w:val="007D2030"/>
    <w:rsid w:val="0081537D"/>
    <w:rsid w:val="00820CC6"/>
    <w:rsid w:val="0084513F"/>
    <w:rsid w:val="00861E32"/>
    <w:rsid w:val="008B46E5"/>
    <w:rsid w:val="008B7ED8"/>
    <w:rsid w:val="008C5041"/>
    <w:rsid w:val="008D38E4"/>
    <w:rsid w:val="008F253F"/>
    <w:rsid w:val="008F4A19"/>
    <w:rsid w:val="009332D6"/>
    <w:rsid w:val="00933847"/>
    <w:rsid w:val="00942968"/>
    <w:rsid w:val="00945225"/>
    <w:rsid w:val="0094750D"/>
    <w:rsid w:val="00965DE1"/>
    <w:rsid w:val="009700A7"/>
    <w:rsid w:val="009B653A"/>
    <w:rsid w:val="009C1D24"/>
    <w:rsid w:val="009C3509"/>
    <w:rsid w:val="009D76E9"/>
    <w:rsid w:val="00A04207"/>
    <w:rsid w:val="00A13E6E"/>
    <w:rsid w:val="00A1674D"/>
    <w:rsid w:val="00A1786D"/>
    <w:rsid w:val="00A8010B"/>
    <w:rsid w:val="00B20753"/>
    <w:rsid w:val="00B51FD8"/>
    <w:rsid w:val="00B66734"/>
    <w:rsid w:val="00B90178"/>
    <w:rsid w:val="00BD0886"/>
    <w:rsid w:val="00BE59D8"/>
    <w:rsid w:val="00C10DCE"/>
    <w:rsid w:val="00C47ADD"/>
    <w:rsid w:val="00C605A6"/>
    <w:rsid w:val="00C64D4D"/>
    <w:rsid w:val="00C9284D"/>
    <w:rsid w:val="00CC7B57"/>
    <w:rsid w:val="00CD0D89"/>
    <w:rsid w:val="00CD10F4"/>
    <w:rsid w:val="00CD5B22"/>
    <w:rsid w:val="00D04FFE"/>
    <w:rsid w:val="00D13CCB"/>
    <w:rsid w:val="00D156B7"/>
    <w:rsid w:val="00D25701"/>
    <w:rsid w:val="00D46BDE"/>
    <w:rsid w:val="00D77866"/>
    <w:rsid w:val="00D83307"/>
    <w:rsid w:val="00D865F3"/>
    <w:rsid w:val="00DC3B40"/>
    <w:rsid w:val="00DE0B0D"/>
    <w:rsid w:val="00DF23DD"/>
    <w:rsid w:val="00DF54B9"/>
    <w:rsid w:val="00E02F4C"/>
    <w:rsid w:val="00E17DA3"/>
    <w:rsid w:val="00E268ED"/>
    <w:rsid w:val="00E36152"/>
    <w:rsid w:val="00E4791C"/>
    <w:rsid w:val="00E60B44"/>
    <w:rsid w:val="00E81A79"/>
    <w:rsid w:val="00EA0C97"/>
    <w:rsid w:val="00EF06D4"/>
    <w:rsid w:val="00EF2EA1"/>
    <w:rsid w:val="00F10E25"/>
    <w:rsid w:val="00F3161A"/>
    <w:rsid w:val="00FA3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character" w:styleId="Komentraatsauce">
    <w:name w:val="annotation reference"/>
    <w:basedOn w:val="Noklusjumarindkopasfonts"/>
    <w:uiPriority w:val="99"/>
    <w:semiHidden/>
    <w:unhideWhenUsed/>
    <w:rsid w:val="0081537D"/>
    <w:rPr>
      <w:sz w:val="16"/>
      <w:szCs w:val="16"/>
    </w:rPr>
  </w:style>
  <w:style w:type="paragraph" w:styleId="Komentrateksts">
    <w:name w:val="annotation text"/>
    <w:basedOn w:val="Parasts"/>
    <w:link w:val="KomentratekstsRakstz"/>
    <w:uiPriority w:val="99"/>
    <w:unhideWhenUsed/>
    <w:rsid w:val="0081537D"/>
    <w:pPr>
      <w:spacing w:line="240" w:lineRule="auto"/>
    </w:pPr>
    <w:rPr>
      <w:sz w:val="20"/>
      <w:szCs w:val="20"/>
    </w:rPr>
  </w:style>
  <w:style w:type="character" w:customStyle="1" w:styleId="KomentratekstsRakstz">
    <w:name w:val="Komentāra teksts Rakstz."/>
    <w:basedOn w:val="Noklusjumarindkopasfonts"/>
    <w:link w:val="Komentrateksts"/>
    <w:uiPriority w:val="99"/>
    <w:rsid w:val="0081537D"/>
    <w:rPr>
      <w:sz w:val="20"/>
      <w:szCs w:val="20"/>
    </w:rPr>
  </w:style>
  <w:style w:type="paragraph" w:styleId="Komentratma">
    <w:name w:val="annotation subject"/>
    <w:basedOn w:val="Komentrateksts"/>
    <w:next w:val="Komentrateksts"/>
    <w:link w:val="KomentratmaRakstz"/>
    <w:uiPriority w:val="99"/>
    <w:semiHidden/>
    <w:unhideWhenUsed/>
    <w:rsid w:val="0081537D"/>
    <w:rPr>
      <w:b/>
      <w:bCs/>
    </w:rPr>
  </w:style>
  <w:style w:type="character" w:customStyle="1" w:styleId="KomentratmaRakstz">
    <w:name w:val="Komentāra tēma Rakstz."/>
    <w:basedOn w:val="KomentratekstsRakstz"/>
    <w:link w:val="Komentratma"/>
    <w:uiPriority w:val="99"/>
    <w:semiHidden/>
    <w:rsid w:val="0081537D"/>
    <w:rPr>
      <w:b/>
      <w:bCs/>
      <w:sz w:val="20"/>
      <w:szCs w:val="20"/>
    </w:rPr>
  </w:style>
  <w:style w:type="paragraph" w:styleId="Prskatjums">
    <w:name w:val="Revision"/>
    <w:hidden/>
    <w:uiPriority w:val="99"/>
    <w:semiHidden/>
    <w:rsid w:val="0081537D"/>
    <w:pPr>
      <w:spacing w:after="0" w:line="240" w:lineRule="auto"/>
    </w:pPr>
  </w:style>
  <w:style w:type="character" w:styleId="Hipersaite">
    <w:name w:val="Hyperlink"/>
    <w:basedOn w:val="Noklusjumarindkopasfonts"/>
    <w:uiPriority w:val="99"/>
    <w:unhideWhenUsed/>
    <w:rsid w:val="00272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a.lv/lv/saistoso-noteikumu-projek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Pages>
  <Words>5415</Words>
  <Characters>3088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Kirils Mihejevs</cp:lastModifiedBy>
  <cp:revision>7</cp:revision>
  <cp:lastPrinted>2025-09-19T16:51:00Z</cp:lastPrinted>
  <dcterms:created xsi:type="dcterms:W3CDTF">2025-09-17T16:09:00Z</dcterms:created>
  <dcterms:modified xsi:type="dcterms:W3CDTF">2025-09-22T06:37:00Z</dcterms:modified>
</cp:coreProperties>
</file>