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001B8" w14:textId="77777777" w:rsidR="00965DE1" w:rsidRPr="00965DE1" w:rsidRDefault="003A63EA" w:rsidP="00054249">
      <w:pPr>
        <w:spacing w:after="0"/>
        <w:jc w:val="center"/>
        <w:rPr>
          <w:rFonts w:ascii="Times New Roman" w:hAnsi="Times New Roman" w:cs="Times New Roman"/>
          <w:b/>
          <w:sz w:val="26"/>
          <w:szCs w:val="26"/>
        </w:rPr>
      </w:pPr>
      <w:r w:rsidRPr="00965DE1">
        <w:rPr>
          <w:rFonts w:ascii="Times New Roman" w:hAnsi="Times New Roman" w:cs="Times New Roman"/>
          <w:b/>
          <w:sz w:val="26"/>
          <w:szCs w:val="26"/>
        </w:rPr>
        <w:t xml:space="preserve">Paskaidrojuma raksts </w:t>
      </w:r>
    </w:p>
    <w:p w14:paraId="6DFB51A6" w14:textId="7D2275AB" w:rsidR="00965DE1" w:rsidRDefault="003A63EA" w:rsidP="00054249">
      <w:pPr>
        <w:spacing w:after="0"/>
        <w:jc w:val="center"/>
        <w:rPr>
          <w:rFonts w:ascii="Times New Roman" w:hAnsi="Times New Roman" w:cs="Times New Roman"/>
          <w:b/>
          <w:bCs/>
          <w:sz w:val="26"/>
          <w:szCs w:val="26"/>
        </w:rPr>
      </w:pPr>
      <w:r w:rsidRPr="00965DE1">
        <w:rPr>
          <w:rFonts w:ascii="Times New Roman" w:hAnsi="Times New Roman" w:cs="Times New Roman"/>
          <w:b/>
          <w:bCs/>
          <w:sz w:val="26"/>
          <w:szCs w:val="26"/>
        </w:rPr>
        <w:t>Rīgas domes saistošajiem noteikumiem</w:t>
      </w:r>
    </w:p>
    <w:p w14:paraId="08A23BA9" w14:textId="77777777" w:rsidR="00054249" w:rsidRDefault="00054249" w:rsidP="00054249">
      <w:pPr>
        <w:spacing w:after="0"/>
        <w:jc w:val="center"/>
        <w:rPr>
          <w:rFonts w:ascii="Times New Roman" w:hAnsi="Times New Roman" w:cs="Times New Roman"/>
          <w:b/>
          <w:bCs/>
          <w:sz w:val="26"/>
          <w:szCs w:val="26"/>
        </w:rPr>
      </w:pPr>
    </w:p>
    <w:p w14:paraId="4C2CB60D" w14:textId="629A282B" w:rsidR="004E17DC" w:rsidRPr="00965DE1" w:rsidRDefault="003A63EA" w:rsidP="00965DE1">
      <w:pPr>
        <w:jc w:val="center"/>
        <w:rPr>
          <w:rFonts w:ascii="Times New Roman" w:hAnsi="Times New Roman" w:cs="Times New Roman"/>
          <w:b/>
          <w:bCs/>
          <w:sz w:val="26"/>
          <w:szCs w:val="26"/>
        </w:rPr>
      </w:pPr>
      <w:r>
        <w:rPr>
          <w:rFonts w:ascii="Times New Roman" w:hAnsi="Times New Roman" w:cs="Times New Roman"/>
          <w:b/>
          <w:bCs/>
          <w:sz w:val="26"/>
          <w:szCs w:val="26"/>
        </w:rPr>
        <w:t>“</w:t>
      </w:r>
      <w:r w:rsidRPr="00D84762">
        <w:rPr>
          <w:rFonts w:ascii="Times New Roman" w:hAnsi="Times New Roman" w:cs="Times New Roman"/>
          <w:b/>
          <w:bCs/>
          <w:sz w:val="26"/>
          <w:szCs w:val="26"/>
        </w:rPr>
        <w:t>Grozījumi Rīgas domes 2024.</w:t>
      </w:r>
      <w:r>
        <w:rPr>
          <w:rFonts w:ascii="Times New Roman" w:hAnsi="Times New Roman" w:cs="Times New Roman"/>
          <w:b/>
          <w:bCs/>
          <w:sz w:val="26"/>
          <w:szCs w:val="26"/>
        </w:rPr>
        <w:t> </w:t>
      </w:r>
      <w:r w:rsidRPr="00D84762">
        <w:rPr>
          <w:rFonts w:ascii="Times New Roman" w:hAnsi="Times New Roman" w:cs="Times New Roman"/>
          <w:b/>
          <w:bCs/>
          <w:sz w:val="26"/>
          <w:szCs w:val="26"/>
        </w:rPr>
        <w:t xml:space="preserve">gada </w:t>
      </w:r>
      <w:r w:rsidR="00FB4196">
        <w:rPr>
          <w:rFonts w:ascii="Times New Roman" w:hAnsi="Times New Roman" w:cs="Times New Roman"/>
          <w:b/>
          <w:bCs/>
          <w:sz w:val="26"/>
          <w:szCs w:val="26"/>
        </w:rPr>
        <w:t>16</w:t>
      </w:r>
      <w:r w:rsidRPr="00D84762">
        <w:rPr>
          <w:rFonts w:ascii="Times New Roman" w:hAnsi="Times New Roman" w:cs="Times New Roman"/>
          <w:b/>
          <w:bCs/>
          <w:sz w:val="26"/>
          <w:szCs w:val="26"/>
        </w:rPr>
        <w:t>.</w:t>
      </w:r>
      <w:r>
        <w:rPr>
          <w:rFonts w:ascii="Times New Roman" w:hAnsi="Times New Roman" w:cs="Times New Roman"/>
          <w:b/>
          <w:bCs/>
          <w:sz w:val="26"/>
          <w:szCs w:val="26"/>
        </w:rPr>
        <w:t> </w:t>
      </w:r>
      <w:r w:rsidR="00FB4196">
        <w:rPr>
          <w:rFonts w:ascii="Times New Roman" w:hAnsi="Times New Roman" w:cs="Times New Roman"/>
          <w:b/>
          <w:bCs/>
          <w:sz w:val="26"/>
          <w:szCs w:val="26"/>
        </w:rPr>
        <w:t>oktobra</w:t>
      </w:r>
      <w:r w:rsidRPr="00D84762">
        <w:rPr>
          <w:rFonts w:ascii="Times New Roman" w:hAnsi="Times New Roman" w:cs="Times New Roman"/>
          <w:b/>
          <w:bCs/>
          <w:sz w:val="26"/>
          <w:szCs w:val="26"/>
        </w:rPr>
        <w:t xml:space="preserve"> saistošajos noteikumos </w:t>
      </w:r>
      <w:r w:rsidR="00300943">
        <w:rPr>
          <w:rFonts w:ascii="Times New Roman" w:hAnsi="Times New Roman" w:cs="Times New Roman"/>
          <w:b/>
          <w:bCs/>
          <w:sz w:val="26"/>
          <w:szCs w:val="26"/>
        </w:rPr>
        <w:br/>
      </w:r>
      <w:r w:rsidRPr="00D84762">
        <w:rPr>
          <w:rFonts w:ascii="Times New Roman" w:hAnsi="Times New Roman" w:cs="Times New Roman"/>
          <w:b/>
          <w:bCs/>
          <w:sz w:val="26"/>
          <w:szCs w:val="26"/>
        </w:rPr>
        <w:t>Nr.</w:t>
      </w:r>
      <w:r>
        <w:rPr>
          <w:rFonts w:ascii="Times New Roman" w:hAnsi="Times New Roman" w:cs="Times New Roman"/>
          <w:b/>
          <w:bCs/>
          <w:sz w:val="26"/>
          <w:szCs w:val="26"/>
        </w:rPr>
        <w:t> </w:t>
      </w:r>
      <w:r w:rsidRPr="00D84762">
        <w:rPr>
          <w:rFonts w:ascii="Times New Roman" w:hAnsi="Times New Roman" w:cs="Times New Roman"/>
          <w:b/>
          <w:bCs/>
          <w:sz w:val="26"/>
          <w:szCs w:val="26"/>
        </w:rPr>
        <w:t>RD-24-</w:t>
      </w:r>
      <w:r w:rsidR="00FB4196">
        <w:rPr>
          <w:rFonts w:ascii="Times New Roman" w:hAnsi="Times New Roman" w:cs="Times New Roman"/>
          <w:b/>
          <w:bCs/>
          <w:sz w:val="26"/>
          <w:szCs w:val="26"/>
        </w:rPr>
        <w:t>302</w:t>
      </w:r>
      <w:r w:rsidRPr="00D84762">
        <w:rPr>
          <w:rFonts w:ascii="Times New Roman" w:hAnsi="Times New Roman" w:cs="Times New Roman"/>
          <w:b/>
          <w:bCs/>
          <w:sz w:val="26"/>
          <w:szCs w:val="26"/>
        </w:rPr>
        <w:t>-sn “</w:t>
      </w:r>
      <w:r w:rsidR="00FB4196" w:rsidRPr="00FB4196">
        <w:rPr>
          <w:rFonts w:ascii="Times New Roman" w:hAnsi="Times New Roman" w:cs="Times New Roman"/>
          <w:b/>
          <w:bCs/>
          <w:sz w:val="26"/>
          <w:szCs w:val="26"/>
        </w:rPr>
        <w:t>Par līdzfinansējumu atsevišķu vēsturisko būvju saglabāšanai Rīgā</w:t>
      </w:r>
      <w:r>
        <w:rPr>
          <w:rFonts w:ascii="Times New Roman" w:hAnsi="Times New Roman" w:cs="Times New Roman"/>
          <w:b/>
          <w:bCs/>
          <w:sz w:val="26"/>
          <w:szCs w:val="26"/>
        </w:rPr>
        <w:t>”</w:t>
      </w:r>
    </w:p>
    <w:p w14:paraId="4442B796" w14:textId="77777777" w:rsidR="00464AA1" w:rsidRPr="00965DE1" w:rsidRDefault="00464AA1" w:rsidP="00F10E25">
      <w:pPr>
        <w:shd w:val="clear" w:color="auto" w:fill="FFFFFF"/>
        <w:spacing w:after="0" w:line="240" w:lineRule="auto"/>
        <w:jc w:val="center"/>
        <w:rPr>
          <w:rFonts w:ascii="Times New Roman" w:eastAsia="Times New Roman" w:hAnsi="Times New Roman" w:cs="Times New Roman"/>
          <w:b/>
          <w:bCs/>
          <w:color w:val="535353"/>
          <w:sz w:val="26"/>
          <w:szCs w:val="26"/>
          <w:lang w:eastAsia="lv-LV"/>
        </w:rPr>
      </w:pPr>
    </w:p>
    <w:tbl>
      <w:tblPr>
        <w:tblStyle w:val="Reatabula"/>
        <w:tblW w:w="0" w:type="auto"/>
        <w:tblLook w:val="04A0" w:firstRow="1" w:lastRow="0" w:firstColumn="1" w:lastColumn="0" w:noHBand="0" w:noVBand="1"/>
      </w:tblPr>
      <w:tblGrid>
        <w:gridCol w:w="9628"/>
      </w:tblGrid>
      <w:tr w:rsidR="00FA3FE4" w14:paraId="321D0289" w14:textId="77777777" w:rsidTr="00CD5B22">
        <w:trPr>
          <w:trHeight w:val="654"/>
        </w:trPr>
        <w:tc>
          <w:tcPr>
            <w:tcW w:w="9247" w:type="dxa"/>
          </w:tcPr>
          <w:p w14:paraId="4049E7E4" w14:textId="3DB28C1F" w:rsidR="007752F6" w:rsidRPr="00E4791C" w:rsidRDefault="003A63EA"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1. Mērķi un nepieciešamības pamatojums, tostarp raksturojot iespējamās alternatīvas, kas neparedz tiesiskā regulējuma izstrādi</w:t>
            </w:r>
          </w:p>
          <w:p w14:paraId="052027A7" w14:textId="1AF144CC" w:rsidR="008A6805" w:rsidRDefault="0078751D" w:rsidP="00054249">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Ar grozījum</w:t>
            </w:r>
            <w:r w:rsidR="00726861">
              <w:rPr>
                <w:rFonts w:ascii="Times New Roman" w:eastAsia="Times New Roman" w:hAnsi="Times New Roman" w:cs="Times New Roman"/>
                <w:color w:val="000000" w:themeColor="text1"/>
                <w:sz w:val="26"/>
                <w:szCs w:val="26"/>
                <w:lang w:eastAsia="lv-LV"/>
              </w:rPr>
              <w:t>iem</w:t>
            </w:r>
            <w:r>
              <w:rPr>
                <w:rFonts w:ascii="Times New Roman" w:eastAsia="Times New Roman" w:hAnsi="Times New Roman" w:cs="Times New Roman"/>
                <w:color w:val="000000" w:themeColor="text1"/>
                <w:sz w:val="26"/>
                <w:szCs w:val="26"/>
                <w:lang w:eastAsia="lv-LV"/>
              </w:rPr>
              <w:t xml:space="preserve">, kas ir stājušies spēkā </w:t>
            </w:r>
            <w:r w:rsidRPr="0078751D">
              <w:rPr>
                <w:rFonts w:ascii="Times New Roman" w:eastAsia="Times New Roman" w:hAnsi="Times New Roman" w:cs="Times New Roman"/>
                <w:color w:val="000000" w:themeColor="text1"/>
                <w:sz w:val="26"/>
                <w:szCs w:val="26"/>
                <w:lang w:eastAsia="lv-LV"/>
              </w:rPr>
              <w:t>03.07.2025.</w:t>
            </w:r>
            <w:r>
              <w:rPr>
                <w:rFonts w:ascii="Times New Roman" w:eastAsia="Times New Roman" w:hAnsi="Times New Roman" w:cs="Times New Roman"/>
                <w:color w:val="000000" w:themeColor="text1"/>
                <w:sz w:val="26"/>
                <w:szCs w:val="26"/>
                <w:lang w:eastAsia="lv-LV"/>
              </w:rPr>
              <w:t>, no likuma “</w:t>
            </w:r>
            <w:r w:rsidR="008A6805" w:rsidRPr="008A6805">
              <w:rPr>
                <w:rFonts w:ascii="Times New Roman" w:eastAsia="Times New Roman" w:hAnsi="Times New Roman" w:cs="Times New Roman"/>
                <w:color w:val="000000" w:themeColor="text1"/>
                <w:sz w:val="26"/>
                <w:szCs w:val="26"/>
                <w:lang w:eastAsia="lv-LV"/>
              </w:rPr>
              <w:t>Par palīdzību dzīvokļa jautājumu risināšanā</w:t>
            </w:r>
            <w:r>
              <w:rPr>
                <w:rFonts w:ascii="Times New Roman" w:eastAsia="Times New Roman" w:hAnsi="Times New Roman" w:cs="Times New Roman"/>
                <w:color w:val="000000" w:themeColor="text1"/>
                <w:sz w:val="26"/>
                <w:szCs w:val="26"/>
                <w:lang w:eastAsia="lv-LV"/>
              </w:rPr>
              <w:t xml:space="preserve">” </w:t>
            </w:r>
            <w:r w:rsidR="008A6805">
              <w:rPr>
                <w:rFonts w:ascii="Times New Roman" w:eastAsia="Times New Roman" w:hAnsi="Times New Roman" w:cs="Times New Roman"/>
                <w:color w:val="000000" w:themeColor="text1"/>
                <w:sz w:val="26"/>
                <w:szCs w:val="26"/>
                <w:lang w:eastAsia="lv-LV"/>
              </w:rPr>
              <w:t xml:space="preserve">(turpmāk – </w:t>
            </w:r>
            <w:r w:rsidR="00687EA3">
              <w:rPr>
                <w:rFonts w:ascii="Times New Roman" w:eastAsia="Times New Roman" w:hAnsi="Times New Roman" w:cs="Times New Roman"/>
                <w:color w:val="000000" w:themeColor="text1"/>
                <w:sz w:val="26"/>
                <w:szCs w:val="26"/>
                <w:lang w:eastAsia="lv-LV"/>
              </w:rPr>
              <w:t>Palīdzības</w:t>
            </w:r>
            <w:r w:rsidR="008A6805">
              <w:rPr>
                <w:rFonts w:ascii="Times New Roman" w:eastAsia="Times New Roman" w:hAnsi="Times New Roman" w:cs="Times New Roman"/>
                <w:color w:val="000000" w:themeColor="text1"/>
                <w:sz w:val="26"/>
                <w:szCs w:val="26"/>
                <w:lang w:eastAsia="lv-LV"/>
              </w:rPr>
              <w:t xml:space="preserve"> </w:t>
            </w:r>
            <w:r w:rsidR="00687EA3">
              <w:rPr>
                <w:rFonts w:ascii="Times New Roman" w:eastAsia="Times New Roman" w:hAnsi="Times New Roman" w:cs="Times New Roman"/>
                <w:color w:val="000000" w:themeColor="text1"/>
                <w:sz w:val="26"/>
                <w:szCs w:val="26"/>
                <w:lang w:eastAsia="lv-LV"/>
              </w:rPr>
              <w:t>likums</w:t>
            </w:r>
            <w:r w:rsidR="008A6805">
              <w:rPr>
                <w:rFonts w:ascii="Times New Roman" w:eastAsia="Times New Roman" w:hAnsi="Times New Roman" w:cs="Times New Roman"/>
                <w:color w:val="000000" w:themeColor="text1"/>
                <w:sz w:val="26"/>
                <w:szCs w:val="26"/>
                <w:lang w:eastAsia="lv-LV"/>
              </w:rPr>
              <w:t xml:space="preserve">) </w:t>
            </w:r>
            <w:r>
              <w:rPr>
                <w:rFonts w:ascii="Times New Roman" w:eastAsia="Times New Roman" w:hAnsi="Times New Roman" w:cs="Times New Roman"/>
                <w:color w:val="000000" w:themeColor="text1"/>
                <w:sz w:val="26"/>
                <w:szCs w:val="26"/>
                <w:lang w:eastAsia="lv-LV"/>
              </w:rPr>
              <w:t>27.</w:t>
            </w:r>
            <w:r>
              <w:rPr>
                <w:rFonts w:ascii="Times New Roman" w:eastAsia="Times New Roman" w:hAnsi="Times New Roman" w:cs="Times New Roman"/>
                <w:color w:val="000000" w:themeColor="text1"/>
                <w:sz w:val="26"/>
                <w:szCs w:val="26"/>
                <w:vertAlign w:val="superscript"/>
                <w:lang w:eastAsia="lv-LV"/>
              </w:rPr>
              <w:t>2</w:t>
            </w:r>
            <w:r>
              <w:rPr>
                <w:rFonts w:ascii="Times New Roman" w:eastAsia="Times New Roman" w:hAnsi="Times New Roman" w:cs="Times New Roman"/>
                <w:color w:val="000000" w:themeColor="text1"/>
                <w:sz w:val="26"/>
                <w:szCs w:val="26"/>
                <w:lang w:eastAsia="lv-LV"/>
              </w:rPr>
              <w:t xml:space="preserve"> panta piektās daļas ir svītrot</w:t>
            </w:r>
            <w:r w:rsidR="008A6805">
              <w:rPr>
                <w:rFonts w:ascii="Times New Roman" w:eastAsia="Times New Roman" w:hAnsi="Times New Roman" w:cs="Times New Roman"/>
                <w:color w:val="000000" w:themeColor="text1"/>
                <w:sz w:val="26"/>
                <w:szCs w:val="26"/>
                <w:lang w:eastAsia="lv-LV"/>
              </w:rPr>
              <w:t>s 2. teikums, k</w:t>
            </w:r>
            <w:r w:rsidR="00726861">
              <w:rPr>
                <w:rFonts w:ascii="Times New Roman" w:eastAsia="Times New Roman" w:hAnsi="Times New Roman" w:cs="Times New Roman"/>
                <w:color w:val="000000" w:themeColor="text1"/>
                <w:sz w:val="26"/>
                <w:szCs w:val="26"/>
                <w:lang w:eastAsia="lv-LV"/>
              </w:rPr>
              <w:t>urā bija noteikts</w:t>
            </w:r>
            <w:r w:rsidR="008A6805">
              <w:rPr>
                <w:rFonts w:ascii="Times New Roman" w:eastAsia="Times New Roman" w:hAnsi="Times New Roman" w:cs="Times New Roman"/>
                <w:color w:val="000000" w:themeColor="text1"/>
                <w:sz w:val="26"/>
                <w:szCs w:val="26"/>
                <w:lang w:eastAsia="lv-LV"/>
              </w:rPr>
              <w:t>, ka “</w:t>
            </w:r>
            <w:r w:rsidR="00687EA3">
              <w:rPr>
                <w:rFonts w:ascii="Times New Roman" w:eastAsia="Times New Roman" w:hAnsi="Times New Roman" w:cs="Times New Roman"/>
                <w:color w:val="000000" w:themeColor="text1"/>
                <w:sz w:val="26"/>
                <w:szCs w:val="26"/>
                <w:lang w:eastAsia="lv-LV"/>
              </w:rPr>
              <w:t>s</w:t>
            </w:r>
            <w:r w:rsidR="00687EA3" w:rsidRPr="00687EA3">
              <w:rPr>
                <w:rFonts w:ascii="Times New Roman" w:eastAsia="Times New Roman" w:hAnsi="Times New Roman" w:cs="Times New Roman"/>
                <w:color w:val="000000" w:themeColor="text1"/>
                <w:sz w:val="26"/>
                <w:szCs w:val="26"/>
                <w:lang w:eastAsia="lv-LV"/>
              </w:rPr>
              <w:t>niedzot šā panta otrajā daļā noteikto palīdzību, pašvaldība ievēro komercdarbības atbalsta kontroli regulējošos normatīvos aktus</w:t>
            </w:r>
            <w:r w:rsidR="008A6805">
              <w:rPr>
                <w:rFonts w:ascii="Times New Roman" w:eastAsia="Times New Roman" w:hAnsi="Times New Roman" w:cs="Times New Roman"/>
                <w:color w:val="000000" w:themeColor="text1"/>
                <w:sz w:val="26"/>
                <w:szCs w:val="26"/>
                <w:lang w:eastAsia="lv-LV"/>
              </w:rPr>
              <w:t xml:space="preserve">”. </w:t>
            </w:r>
          </w:p>
          <w:p w14:paraId="6890A31A" w14:textId="4F5216F9" w:rsidR="00726861" w:rsidRPr="003B4200" w:rsidRDefault="008A6805" w:rsidP="008A6805">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Noskaidrojot šā grozījuma mērķi, tiesību palīgavotos (sk. </w:t>
            </w:r>
            <w:hyperlink r:id="rId8" w:history="1">
              <w:r w:rsidRPr="00D66E5D">
                <w:rPr>
                  <w:rStyle w:val="Hipersaite"/>
                  <w:rFonts w:ascii="Times New Roman" w:eastAsia="Times New Roman" w:hAnsi="Times New Roman" w:cs="Times New Roman"/>
                  <w:sz w:val="26"/>
                  <w:szCs w:val="26"/>
                  <w:lang w:eastAsia="lv-LV"/>
                </w:rPr>
                <w:t>https://titania.saeima.lv/LIVS14/SaeimaLIVS14.nsf/webSasaiste?OpenView&amp;restricttocategory=870/Lp14</w:t>
              </w:r>
            </w:hyperlink>
            <w:r>
              <w:rPr>
                <w:rFonts w:ascii="Times New Roman" w:eastAsia="Times New Roman" w:hAnsi="Times New Roman" w:cs="Times New Roman"/>
                <w:color w:val="000000" w:themeColor="text1"/>
                <w:sz w:val="26"/>
                <w:szCs w:val="26"/>
                <w:lang w:eastAsia="lv-LV"/>
              </w:rPr>
              <w:t>)</w:t>
            </w:r>
            <w:r w:rsidR="0078751D">
              <w:rPr>
                <w:rFonts w:ascii="Times New Roman" w:eastAsia="Times New Roman" w:hAnsi="Times New Roman" w:cs="Times New Roman"/>
                <w:color w:val="000000" w:themeColor="text1"/>
                <w:sz w:val="26"/>
                <w:szCs w:val="26"/>
                <w:lang w:eastAsia="lv-LV"/>
              </w:rPr>
              <w:t xml:space="preserve"> </w:t>
            </w:r>
            <w:r>
              <w:rPr>
                <w:rFonts w:ascii="Times New Roman" w:eastAsia="Times New Roman" w:hAnsi="Times New Roman" w:cs="Times New Roman"/>
                <w:color w:val="000000" w:themeColor="text1"/>
                <w:sz w:val="26"/>
                <w:szCs w:val="26"/>
                <w:lang w:eastAsia="lv-LV"/>
              </w:rPr>
              <w:t xml:space="preserve">atrodams, ka likumdevējs atzinis par </w:t>
            </w:r>
            <w:r w:rsidR="00726861">
              <w:rPr>
                <w:rFonts w:ascii="Times New Roman" w:eastAsia="Times New Roman" w:hAnsi="Times New Roman" w:cs="Times New Roman"/>
                <w:color w:val="000000" w:themeColor="text1"/>
                <w:sz w:val="26"/>
                <w:szCs w:val="26"/>
                <w:lang w:eastAsia="lv-LV"/>
              </w:rPr>
              <w:t>pamatotiem</w:t>
            </w:r>
            <w:r>
              <w:rPr>
                <w:rFonts w:ascii="Times New Roman" w:eastAsia="Times New Roman" w:hAnsi="Times New Roman" w:cs="Times New Roman"/>
                <w:color w:val="000000" w:themeColor="text1"/>
                <w:sz w:val="26"/>
                <w:szCs w:val="26"/>
                <w:lang w:eastAsia="lv-LV"/>
              </w:rPr>
              <w:t xml:space="preserve"> </w:t>
            </w:r>
            <w:r w:rsidR="00687EA3">
              <w:rPr>
                <w:rFonts w:ascii="Times New Roman" w:eastAsia="Times New Roman" w:hAnsi="Times New Roman" w:cs="Times New Roman"/>
                <w:color w:val="000000" w:themeColor="text1"/>
                <w:sz w:val="26"/>
                <w:szCs w:val="26"/>
                <w:lang w:eastAsia="lv-LV"/>
              </w:rPr>
              <w:t xml:space="preserve"> </w:t>
            </w:r>
            <w:r w:rsidR="00726861">
              <w:rPr>
                <w:rFonts w:ascii="Times New Roman" w:eastAsia="Times New Roman" w:hAnsi="Times New Roman" w:cs="Times New Roman"/>
                <w:color w:val="000000" w:themeColor="text1"/>
                <w:sz w:val="26"/>
                <w:szCs w:val="26"/>
                <w:lang w:eastAsia="lv-LV"/>
              </w:rPr>
              <w:t>argumentus</w:t>
            </w:r>
            <w:r>
              <w:rPr>
                <w:rFonts w:ascii="Times New Roman" w:eastAsia="Times New Roman" w:hAnsi="Times New Roman" w:cs="Times New Roman"/>
                <w:color w:val="000000" w:themeColor="text1"/>
                <w:sz w:val="26"/>
                <w:szCs w:val="26"/>
                <w:lang w:eastAsia="lv-LV"/>
              </w:rPr>
              <w:t xml:space="preserve">, </w:t>
            </w:r>
            <w:r w:rsidR="00726861">
              <w:rPr>
                <w:rFonts w:ascii="Times New Roman" w:eastAsia="Times New Roman" w:hAnsi="Times New Roman" w:cs="Times New Roman"/>
                <w:color w:val="000000" w:themeColor="text1"/>
                <w:sz w:val="26"/>
                <w:szCs w:val="26"/>
                <w:lang w:eastAsia="lv-LV"/>
              </w:rPr>
              <w:t>izmantojot</w:t>
            </w:r>
            <w:r>
              <w:rPr>
                <w:rFonts w:ascii="Times New Roman" w:eastAsia="Times New Roman" w:hAnsi="Times New Roman" w:cs="Times New Roman"/>
                <w:color w:val="000000" w:themeColor="text1"/>
                <w:sz w:val="26"/>
                <w:szCs w:val="26"/>
                <w:lang w:eastAsia="lv-LV"/>
              </w:rPr>
              <w:t xml:space="preserve"> </w:t>
            </w:r>
            <w:r w:rsidR="00726861">
              <w:rPr>
                <w:rFonts w:ascii="Times New Roman" w:eastAsia="Times New Roman" w:hAnsi="Times New Roman" w:cs="Times New Roman"/>
                <w:color w:val="000000" w:themeColor="text1"/>
                <w:sz w:val="26"/>
                <w:szCs w:val="26"/>
                <w:lang w:eastAsia="lv-LV"/>
              </w:rPr>
              <w:t xml:space="preserve">kurus Rīgas valstspilsētas pašvaldība (turpmāk - Pašvaldība) </w:t>
            </w:r>
            <w:r w:rsidR="00D453E7">
              <w:rPr>
                <w:rFonts w:ascii="Times New Roman" w:eastAsia="Times New Roman" w:hAnsi="Times New Roman" w:cs="Times New Roman"/>
                <w:color w:val="000000" w:themeColor="text1"/>
                <w:sz w:val="26"/>
                <w:szCs w:val="26"/>
                <w:lang w:eastAsia="lv-LV"/>
              </w:rPr>
              <w:t xml:space="preserve">pierādīja, ka </w:t>
            </w:r>
            <w:r w:rsidR="003B4200">
              <w:rPr>
                <w:rFonts w:ascii="Times New Roman" w:eastAsia="Times New Roman" w:hAnsi="Times New Roman" w:cs="Times New Roman"/>
                <w:color w:val="000000" w:themeColor="text1"/>
                <w:sz w:val="26"/>
                <w:szCs w:val="26"/>
                <w:lang w:eastAsia="lv-LV"/>
              </w:rPr>
              <w:t>Palīdzība</w:t>
            </w:r>
            <w:r w:rsidR="00B41290">
              <w:rPr>
                <w:rFonts w:ascii="Times New Roman" w:eastAsia="Times New Roman" w:hAnsi="Times New Roman" w:cs="Times New Roman"/>
                <w:color w:val="000000" w:themeColor="text1"/>
                <w:sz w:val="26"/>
                <w:szCs w:val="26"/>
                <w:lang w:eastAsia="lv-LV"/>
              </w:rPr>
              <w:t>s</w:t>
            </w:r>
            <w:r w:rsidR="003B4200">
              <w:rPr>
                <w:rFonts w:ascii="Times New Roman" w:eastAsia="Times New Roman" w:hAnsi="Times New Roman" w:cs="Times New Roman"/>
                <w:color w:val="000000" w:themeColor="text1"/>
                <w:sz w:val="26"/>
                <w:szCs w:val="26"/>
                <w:lang w:eastAsia="lv-LV"/>
              </w:rPr>
              <w:t xml:space="preserve"> likuma 27.</w:t>
            </w:r>
            <w:r w:rsidR="003B4200">
              <w:rPr>
                <w:rFonts w:ascii="Times New Roman" w:eastAsia="Times New Roman" w:hAnsi="Times New Roman" w:cs="Times New Roman"/>
                <w:color w:val="000000" w:themeColor="text1"/>
                <w:sz w:val="26"/>
                <w:szCs w:val="26"/>
                <w:vertAlign w:val="superscript"/>
                <w:lang w:eastAsia="lv-LV"/>
              </w:rPr>
              <w:t>2</w:t>
            </w:r>
            <w:r w:rsidR="003B4200">
              <w:rPr>
                <w:rFonts w:ascii="Times New Roman" w:eastAsia="Times New Roman" w:hAnsi="Times New Roman" w:cs="Times New Roman"/>
                <w:color w:val="000000" w:themeColor="text1"/>
                <w:sz w:val="26"/>
                <w:szCs w:val="26"/>
                <w:lang w:eastAsia="lv-LV"/>
              </w:rPr>
              <w:t xml:space="preserve"> panta otrajā daļā </w:t>
            </w:r>
            <w:r w:rsidR="00B41290">
              <w:rPr>
                <w:rFonts w:ascii="Times New Roman" w:eastAsia="Times New Roman" w:hAnsi="Times New Roman" w:cs="Times New Roman"/>
                <w:color w:val="000000" w:themeColor="text1"/>
                <w:sz w:val="26"/>
                <w:szCs w:val="26"/>
                <w:lang w:eastAsia="lv-LV"/>
              </w:rPr>
              <w:t>uzskaitītie finanšu palīdzības veidi nav komercdarbības atbalsts, līdz ar to</w:t>
            </w:r>
            <w:r w:rsidR="003B4200">
              <w:rPr>
                <w:rFonts w:ascii="Times New Roman" w:eastAsia="Times New Roman" w:hAnsi="Times New Roman" w:cs="Times New Roman"/>
                <w:color w:val="000000" w:themeColor="text1"/>
                <w:sz w:val="26"/>
                <w:szCs w:val="26"/>
                <w:lang w:eastAsia="lv-LV"/>
              </w:rPr>
              <w:t xml:space="preserve"> </w:t>
            </w:r>
            <w:r w:rsidR="00B41290">
              <w:rPr>
                <w:rFonts w:ascii="Times New Roman" w:eastAsia="Times New Roman" w:hAnsi="Times New Roman" w:cs="Times New Roman"/>
                <w:color w:val="000000" w:themeColor="text1"/>
                <w:sz w:val="26"/>
                <w:szCs w:val="26"/>
                <w:lang w:eastAsia="lv-LV"/>
              </w:rPr>
              <w:t xml:space="preserve">lemjot par </w:t>
            </w:r>
            <w:r w:rsidR="00F168FE">
              <w:rPr>
                <w:rFonts w:ascii="Times New Roman" w:eastAsia="Times New Roman" w:hAnsi="Times New Roman" w:cs="Times New Roman"/>
                <w:color w:val="000000" w:themeColor="text1"/>
                <w:sz w:val="26"/>
                <w:szCs w:val="26"/>
                <w:lang w:eastAsia="lv-LV"/>
              </w:rPr>
              <w:t>šādas palīdzības</w:t>
            </w:r>
            <w:r w:rsidR="00B41290">
              <w:rPr>
                <w:rFonts w:ascii="Times New Roman" w:eastAsia="Times New Roman" w:hAnsi="Times New Roman" w:cs="Times New Roman"/>
                <w:color w:val="000000" w:themeColor="text1"/>
                <w:sz w:val="26"/>
                <w:szCs w:val="26"/>
                <w:lang w:eastAsia="lv-LV"/>
              </w:rPr>
              <w:t xml:space="preserve"> </w:t>
            </w:r>
            <w:r w:rsidR="00F168FE">
              <w:rPr>
                <w:rFonts w:ascii="Times New Roman" w:eastAsia="Times New Roman" w:hAnsi="Times New Roman" w:cs="Times New Roman"/>
                <w:color w:val="000000" w:themeColor="text1"/>
                <w:sz w:val="26"/>
                <w:szCs w:val="26"/>
                <w:lang w:eastAsia="lv-LV"/>
              </w:rPr>
              <w:t xml:space="preserve">piešķiršanu </w:t>
            </w:r>
            <w:r w:rsidR="00B41290">
              <w:rPr>
                <w:rFonts w:ascii="Times New Roman" w:eastAsia="Times New Roman" w:hAnsi="Times New Roman" w:cs="Times New Roman"/>
                <w:color w:val="000000" w:themeColor="text1"/>
                <w:sz w:val="26"/>
                <w:szCs w:val="26"/>
                <w:lang w:eastAsia="lv-LV"/>
              </w:rPr>
              <w:t xml:space="preserve">nav piemērojami </w:t>
            </w:r>
            <w:r w:rsidR="00B41290" w:rsidRPr="00687EA3">
              <w:rPr>
                <w:rFonts w:ascii="Times New Roman" w:eastAsia="Times New Roman" w:hAnsi="Times New Roman" w:cs="Times New Roman"/>
                <w:color w:val="000000" w:themeColor="text1"/>
                <w:sz w:val="26"/>
                <w:szCs w:val="26"/>
                <w:lang w:eastAsia="lv-LV"/>
              </w:rPr>
              <w:t>komercdarbības atbalsta kontroli regulējoš</w:t>
            </w:r>
            <w:r w:rsidR="00F168FE">
              <w:rPr>
                <w:rFonts w:ascii="Times New Roman" w:eastAsia="Times New Roman" w:hAnsi="Times New Roman" w:cs="Times New Roman"/>
                <w:color w:val="000000" w:themeColor="text1"/>
                <w:sz w:val="26"/>
                <w:szCs w:val="26"/>
                <w:lang w:eastAsia="lv-LV"/>
              </w:rPr>
              <w:t>ie</w:t>
            </w:r>
            <w:r w:rsidR="00B41290" w:rsidRPr="00687EA3">
              <w:rPr>
                <w:rFonts w:ascii="Times New Roman" w:eastAsia="Times New Roman" w:hAnsi="Times New Roman" w:cs="Times New Roman"/>
                <w:color w:val="000000" w:themeColor="text1"/>
                <w:sz w:val="26"/>
                <w:szCs w:val="26"/>
                <w:lang w:eastAsia="lv-LV"/>
              </w:rPr>
              <w:t xml:space="preserve"> normatīv</w:t>
            </w:r>
            <w:r w:rsidR="00F168FE">
              <w:rPr>
                <w:rFonts w:ascii="Times New Roman" w:eastAsia="Times New Roman" w:hAnsi="Times New Roman" w:cs="Times New Roman"/>
                <w:color w:val="000000" w:themeColor="text1"/>
                <w:sz w:val="26"/>
                <w:szCs w:val="26"/>
                <w:lang w:eastAsia="lv-LV"/>
              </w:rPr>
              <w:t>ie</w:t>
            </w:r>
            <w:r w:rsidR="00B41290" w:rsidRPr="00687EA3">
              <w:rPr>
                <w:rFonts w:ascii="Times New Roman" w:eastAsia="Times New Roman" w:hAnsi="Times New Roman" w:cs="Times New Roman"/>
                <w:color w:val="000000" w:themeColor="text1"/>
                <w:sz w:val="26"/>
                <w:szCs w:val="26"/>
                <w:lang w:eastAsia="lv-LV"/>
              </w:rPr>
              <w:t xml:space="preserve"> akt</w:t>
            </w:r>
            <w:r w:rsidR="00F168FE">
              <w:rPr>
                <w:rFonts w:ascii="Times New Roman" w:eastAsia="Times New Roman" w:hAnsi="Times New Roman" w:cs="Times New Roman"/>
                <w:color w:val="000000" w:themeColor="text1"/>
                <w:sz w:val="26"/>
                <w:szCs w:val="26"/>
                <w:lang w:eastAsia="lv-LV"/>
              </w:rPr>
              <w:t>i, tai skaitā, palīdzības programmas nav izvērtējamas Finanšu ministrijā.</w:t>
            </w:r>
          </w:p>
          <w:p w14:paraId="1FB46587" w14:textId="77777777" w:rsidR="00C96D5D" w:rsidRPr="00C96D5D" w:rsidRDefault="00C96D5D" w:rsidP="00C96D5D">
            <w:pPr>
              <w:shd w:val="clear" w:color="auto" w:fill="FFFFFF"/>
              <w:ind w:firstLine="731"/>
              <w:jc w:val="both"/>
              <w:rPr>
                <w:rFonts w:ascii="Times New Roman" w:eastAsia="Times New Roman" w:hAnsi="Times New Roman" w:cs="Times New Roman"/>
                <w:color w:val="000000" w:themeColor="text1"/>
                <w:sz w:val="26"/>
                <w:szCs w:val="26"/>
                <w:lang w:eastAsia="lv-LV"/>
              </w:rPr>
            </w:pPr>
            <w:r w:rsidRPr="00C96D5D">
              <w:rPr>
                <w:rFonts w:ascii="Times New Roman" w:eastAsia="Times New Roman" w:hAnsi="Times New Roman" w:cs="Times New Roman"/>
                <w:color w:val="000000" w:themeColor="text1"/>
                <w:sz w:val="26"/>
                <w:szCs w:val="26"/>
                <w:lang w:eastAsia="lv-LV"/>
              </w:rPr>
              <w:t xml:space="preserve">Saskaņā ar Administratīvā procesa likuma 16. panta septīto daļu, ja konstatē pretrunu starp vienāda juridiskā spēka vispārējo un speciālo tiesību normu, vispārējo tiesību normu piemēro tiktāl, ciktāl to neierobežo speciālā tiesību norma. </w:t>
            </w:r>
          </w:p>
          <w:p w14:paraId="66A7A7D5" w14:textId="77777777" w:rsidR="00C96D5D" w:rsidRPr="00C96D5D" w:rsidRDefault="00C96D5D" w:rsidP="00C96D5D">
            <w:pPr>
              <w:shd w:val="clear" w:color="auto" w:fill="FFFFFF"/>
              <w:ind w:firstLine="731"/>
              <w:jc w:val="both"/>
              <w:rPr>
                <w:rFonts w:ascii="Times New Roman" w:eastAsia="Times New Roman" w:hAnsi="Times New Roman" w:cs="Times New Roman"/>
                <w:color w:val="000000" w:themeColor="text1"/>
                <w:sz w:val="26"/>
                <w:szCs w:val="26"/>
                <w:lang w:eastAsia="lv-LV"/>
              </w:rPr>
            </w:pPr>
            <w:r w:rsidRPr="00C96D5D">
              <w:rPr>
                <w:rFonts w:ascii="Times New Roman" w:eastAsia="Times New Roman" w:hAnsi="Times New Roman" w:cs="Times New Roman"/>
                <w:color w:val="000000" w:themeColor="text1"/>
                <w:sz w:val="26"/>
                <w:szCs w:val="26"/>
                <w:lang w:eastAsia="lv-LV"/>
              </w:rPr>
              <w:t xml:space="preserve">Līdz ar to šīs vēstules sākumā minētajai KAKL 10. panta pirmajai daļai “jāatkāpjas” Palīdzības likuma speciālās tiesību normas priekšā.  </w:t>
            </w:r>
          </w:p>
          <w:p w14:paraId="4918E4CE" w14:textId="48DE94A2" w:rsidR="00C96D5D" w:rsidRDefault="00C96D5D" w:rsidP="00C96D5D">
            <w:pPr>
              <w:shd w:val="clear" w:color="auto" w:fill="FFFFFF"/>
              <w:ind w:firstLine="731"/>
              <w:jc w:val="both"/>
              <w:rPr>
                <w:rFonts w:ascii="Times New Roman" w:eastAsia="Times New Roman" w:hAnsi="Times New Roman" w:cs="Times New Roman"/>
                <w:color w:val="000000" w:themeColor="text1"/>
                <w:sz w:val="26"/>
                <w:szCs w:val="26"/>
                <w:lang w:eastAsia="lv-LV"/>
              </w:rPr>
            </w:pPr>
            <w:r w:rsidRPr="00C96D5D">
              <w:rPr>
                <w:rFonts w:ascii="Times New Roman" w:eastAsia="Times New Roman" w:hAnsi="Times New Roman" w:cs="Times New Roman"/>
                <w:color w:val="000000" w:themeColor="text1"/>
                <w:sz w:val="26"/>
                <w:szCs w:val="26"/>
                <w:lang w:eastAsia="lv-LV"/>
              </w:rPr>
              <w:t>Būtiski akcentēt, ka iepriekš minētie apsvērumi un eventuāla tiesību norma tāpat ir piemērojami citiem pašvaldības finanšu atbalsta programmām, kas ir īstenojamas, piemēram, pamatojoties uz likumu “Par kultūras pieminekļu aizsardzību”, Sakrālā mantojuma saglabāšanas finansēšanas likumu vai Civilās aizsardzības un katastrofas pārvaldīšanas likumu.</w:t>
            </w:r>
          </w:p>
          <w:p w14:paraId="21FF5C8A" w14:textId="77777777" w:rsidR="00254ABB" w:rsidRPr="00B60015"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Papildus, </w:t>
            </w:r>
            <w:r w:rsidRPr="00B60015">
              <w:rPr>
                <w:rFonts w:ascii="Times New Roman" w:eastAsia="Times New Roman" w:hAnsi="Times New Roman" w:cs="Times New Roman"/>
                <w:color w:val="000000" w:themeColor="text1"/>
                <w:sz w:val="26"/>
                <w:szCs w:val="26"/>
                <w:lang w:eastAsia="lv-LV"/>
              </w:rPr>
              <w:t xml:space="preserve">LESD aizliedz valsts atbalstu uzņēmumiem vai konkrētu preču ražošanai. </w:t>
            </w:r>
            <w:r>
              <w:rPr>
                <w:rFonts w:ascii="Times New Roman" w:eastAsia="Times New Roman" w:hAnsi="Times New Roman" w:cs="Times New Roman"/>
                <w:color w:val="000000" w:themeColor="text1"/>
                <w:sz w:val="26"/>
                <w:szCs w:val="26"/>
                <w:lang w:eastAsia="lv-LV"/>
              </w:rPr>
              <w:t xml:space="preserve">LESD </w:t>
            </w:r>
            <w:r w:rsidRPr="00B60015">
              <w:rPr>
                <w:rFonts w:ascii="Times New Roman" w:eastAsia="Times New Roman" w:hAnsi="Times New Roman" w:cs="Times New Roman"/>
                <w:color w:val="000000" w:themeColor="text1"/>
                <w:sz w:val="26"/>
                <w:szCs w:val="26"/>
                <w:lang w:eastAsia="lv-LV"/>
              </w:rPr>
              <w:t>107. panta 1. punkts nosauc valsts atbalsta pazīmes un kā vispārīgo principu noteic tā nesaderību ar ES iekšējo tirgu</w:t>
            </w:r>
            <w:r>
              <w:rPr>
                <w:rFonts w:ascii="Times New Roman" w:eastAsia="Times New Roman" w:hAnsi="Times New Roman" w:cs="Times New Roman"/>
                <w:color w:val="000000" w:themeColor="text1"/>
                <w:sz w:val="26"/>
                <w:szCs w:val="26"/>
                <w:lang w:eastAsia="lv-LV"/>
              </w:rPr>
              <w:t>.</w:t>
            </w:r>
            <w:r w:rsidRPr="00B60015">
              <w:rPr>
                <w:rFonts w:ascii="Times New Roman" w:eastAsia="Times New Roman" w:hAnsi="Times New Roman" w:cs="Times New Roman"/>
                <w:color w:val="000000" w:themeColor="text1"/>
                <w:sz w:val="26"/>
                <w:szCs w:val="26"/>
                <w:lang w:eastAsia="lv-LV"/>
              </w:rPr>
              <w:t xml:space="preserve"> </w:t>
            </w:r>
            <w:r>
              <w:rPr>
                <w:rFonts w:ascii="Times New Roman" w:eastAsia="Times New Roman" w:hAnsi="Times New Roman" w:cs="Times New Roman"/>
                <w:color w:val="000000" w:themeColor="text1"/>
                <w:sz w:val="26"/>
                <w:szCs w:val="26"/>
                <w:lang w:eastAsia="lv-LV"/>
              </w:rPr>
              <w:t xml:space="preserve">Savukārt LESD </w:t>
            </w:r>
            <w:r w:rsidRPr="00B60015">
              <w:rPr>
                <w:rFonts w:ascii="Times New Roman" w:eastAsia="Times New Roman" w:hAnsi="Times New Roman" w:cs="Times New Roman"/>
                <w:color w:val="000000" w:themeColor="text1"/>
                <w:sz w:val="26"/>
                <w:szCs w:val="26"/>
                <w:lang w:eastAsia="lv-LV"/>
              </w:rPr>
              <w:t xml:space="preserve">108. panta 3. punkts aizliedz sniegt atbalstu, pirms </w:t>
            </w:r>
            <w:r>
              <w:rPr>
                <w:rFonts w:ascii="Times New Roman" w:eastAsia="Times New Roman" w:hAnsi="Times New Roman" w:cs="Times New Roman"/>
                <w:color w:val="000000" w:themeColor="text1"/>
                <w:sz w:val="26"/>
                <w:szCs w:val="26"/>
                <w:lang w:eastAsia="lv-LV"/>
              </w:rPr>
              <w:t>EK</w:t>
            </w:r>
            <w:r w:rsidRPr="00B60015">
              <w:rPr>
                <w:rFonts w:ascii="Times New Roman" w:eastAsia="Times New Roman" w:hAnsi="Times New Roman" w:cs="Times New Roman"/>
                <w:color w:val="000000" w:themeColor="text1"/>
                <w:sz w:val="26"/>
                <w:szCs w:val="26"/>
                <w:lang w:eastAsia="lv-LV"/>
              </w:rPr>
              <w:t xml:space="preserve"> izņēmuma kārtā to ir atļāvusi:</w:t>
            </w:r>
          </w:p>
          <w:p w14:paraId="5C8DDD7E" w14:textId="77777777" w:rsidR="00254ABB" w:rsidRPr="00B60015"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w:t>
            </w:r>
            <w:r>
              <w:rPr>
                <w:rFonts w:ascii="Times New Roman" w:eastAsia="Times New Roman" w:hAnsi="Times New Roman" w:cs="Times New Roman"/>
                <w:color w:val="000000" w:themeColor="text1"/>
                <w:sz w:val="26"/>
                <w:szCs w:val="26"/>
                <w:lang w:eastAsia="lv-LV"/>
              </w:rPr>
              <w:t xml:space="preserve">[LESD </w:t>
            </w:r>
            <w:r w:rsidRPr="00B60015">
              <w:rPr>
                <w:rFonts w:ascii="Times New Roman" w:eastAsia="Times New Roman" w:hAnsi="Times New Roman" w:cs="Times New Roman"/>
                <w:color w:val="000000" w:themeColor="text1"/>
                <w:sz w:val="26"/>
                <w:szCs w:val="26"/>
                <w:lang w:eastAsia="lv-LV"/>
              </w:rPr>
              <w:t>107. pant</w:t>
            </w:r>
            <w:r>
              <w:rPr>
                <w:rFonts w:ascii="Times New Roman" w:eastAsia="Times New Roman" w:hAnsi="Times New Roman" w:cs="Times New Roman"/>
                <w:color w:val="000000" w:themeColor="text1"/>
                <w:sz w:val="26"/>
                <w:szCs w:val="26"/>
                <w:lang w:eastAsia="lv-LV"/>
              </w:rPr>
              <w:t xml:space="preserve">a </w:t>
            </w:r>
            <w:r w:rsidRPr="00B60015">
              <w:rPr>
                <w:rFonts w:ascii="Times New Roman" w:eastAsia="Times New Roman" w:hAnsi="Times New Roman" w:cs="Times New Roman"/>
                <w:color w:val="000000" w:themeColor="text1"/>
                <w:sz w:val="26"/>
                <w:szCs w:val="26"/>
                <w:lang w:eastAsia="lv-LV"/>
              </w:rPr>
              <w:t>1.</w:t>
            </w:r>
            <w:r>
              <w:rPr>
                <w:rFonts w:ascii="Times New Roman" w:eastAsia="Times New Roman" w:hAnsi="Times New Roman" w:cs="Times New Roman"/>
                <w:color w:val="000000" w:themeColor="text1"/>
                <w:sz w:val="26"/>
                <w:szCs w:val="26"/>
                <w:lang w:eastAsia="lv-LV"/>
              </w:rPr>
              <w:t xml:space="preserve"> punktā] j</w:t>
            </w:r>
            <w:r w:rsidRPr="00B60015">
              <w:rPr>
                <w:rFonts w:ascii="Times New Roman" w:eastAsia="Times New Roman" w:hAnsi="Times New Roman" w:cs="Times New Roman"/>
                <w:color w:val="000000" w:themeColor="text1"/>
                <w:sz w:val="26"/>
                <w:szCs w:val="26"/>
                <w:lang w:eastAsia="lv-LV"/>
              </w:rPr>
              <w:t>a vien Līgumi neparedz ko citu, ar iekšējo tirgu nav saderīgs nekāds atbalsts, ko piešķir dalībvalstis vai ko jebkādā citā veidā piešķir no valsts līdzekļiem un kas rada vai draud radīt konkurences izkropļojumus, dodot priekšroku konkrētiem uzņēmumiem vai konkrētu preču ražošanai, ciktāl tāds atbalsts iespaido tirdzniecību starp dalībvalstīm.</w:t>
            </w:r>
            <w:r>
              <w:rPr>
                <w:rFonts w:ascii="Times New Roman" w:eastAsia="Times New Roman" w:hAnsi="Times New Roman" w:cs="Times New Roman"/>
                <w:color w:val="000000" w:themeColor="text1"/>
                <w:sz w:val="26"/>
                <w:szCs w:val="26"/>
                <w:lang w:eastAsia="lv-LV"/>
              </w:rPr>
              <w:t xml:space="preserve"> </w:t>
            </w:r>
            <w:r w:rsidRPr="00B60015">
              <w:rPr>
                <w:rFonts w:ascii="Times New Roman" w:eastAsia="Times New Roman" w:hAnsi="Times New Roman" w:cs="Times New Roman"/>
                <w:color w:val="000000" w:themeColor="text1"/>
                <w:sz w:val="26"/>
                <w:szCs w:val="26"/>
                <w:lang w:eastAsia="lv-LV"/>
              </w:rPr>
              <w:t>[…]</w:t>
            </w:r>
            <w:r>
              <w:rPr>
                <w:rFonts w:ascii="Times New Roman" w:eastAsia="Times New Roman" w:hAnsi="Times New Roman" w:cs="Times New Roman"/>
                <w:color w:val="000000" w:themeColor="text1"/>
                <w:sz w:val="26"/>
                <w:szCs w:val="26"/>
                <w:lang w:eastAsia="lv-LV"/>
              </w:rPr>
              <w:t xml:space="preserve"> [LESD </w:t>
            </w:r>
            <w:r w:rsidRPr="00B60015">
              <w:rPr>
                <w:rFonts w:ascii="Times New Roman" w:eastAsia="Times New Roman" w:hAnsi="Times New Roman" w:cs="Times New Roman"/>
                <w:color w:val="000000" w:themeColor="text1"/>
                <w:sz w:val="26"/>
                <w:szCs w:val="26"/>
                <w:lang w:eastAsia="lv-LV"/>
              </w:rPr>
              <w:t>108. pant</w:t>
            </w:r>
            <w:r>
              <w:rPr>
                <w:rFonts w:ascii="Times New Roman" w:eastAsia="Times New Roman" w:hAnsi="Times New Roman" w:cs="Times New Roman"/>
                <w:color w:val="000000" w:themeColor="text1"/>
                <w:sz w:val="26"/>
                <w:szCs w:val="26"/>
                <w:lang w:eastAsia="lv-LV"/>
              </w:rPr>
              <w:t xml:space="preserve">ā 3. punktā] </w:t>
            </w:r>
            <w:r w:rsidRPr="00B60015">
              <w:rPr>
                <w:rFonts w:ascii="Times New Roman" w:eastAsia="Times New Roman" w:hAnsi="Times New Roman" w:cs="Times New Roman"/>
                <w:color w:val="000000" w:themeColor="text1"/>
                <w:sz w:val="26"/>
                <w:szCs w:val="26"/>
                <w:lang w:eastAsia="lv-LV"/>
              </w:rPr>
              <w:t>[…]</w:t>
            </w:r>
            <w:r>
              <w:rPr>
                <w:rFonts w:ascii="Times New Roman" w:eastAsia="Times New Roman" w:hAnsi="Times New Roman" w:cs="Times New Roman"/>
                <w:color w:val="000000" w:themeColor="text1"/>
                <w:sz w:val="26"/>
                <w:szCs w:val="26"/>
                <w:lang w:eastAsia="lv-LV"/>
              </w:rPr>
              <w:t xml:space="preserve"> </w:t>
            </w:r>
            <w:r w:rsidRPr="00B60015">
              <w:rPr>
                <w:rFonts w:ascii="Times New Roman" w:eastAsia="Times New Roman" w:hAnsi="Times New Roman" w:cs="Times New Roman"/>
                <w:color w:val="000000" w:themeColor="text1"/>
                <w:sz w:val="26"/>
                <w:szCs w:val="26"/>
                <w:lang w:eastAsia="lv-LV"/>
              </w:rPr>
              <w:t xml:space="preserve">Visi plāni piešķirt vai mainīt atbalstu ir jādara zināmi </w:t>
            </w:r>
            <w:r>
              <w:rPr>
                <w:rFonts w:ascii="Times New Roman" w:eastAsia="Times New Roman" w:hAnsi="Times New Roman" w:cs="Times New Roman"/>
                <w:color w:val="000000" w:themeColor="text1"/>
                <w:sz w:val="26"/>
                <w:szCs w:val="26"/>
                <w:lang w:eastAsia="lv-LV"/>
              </w:rPr>
              <w:t>[EK]</w:t>
            </w:r>
            <w:r w:rsidRPr="00B60015">
              <w:rPr>
                <w:rFonts w:ascii="Times New Roman" w:eastAsia="Times New Roman" w:hAnsi="Times New Roman" w:cs="Times New Roman"/>
                <w:color w:val="000000" w:themeColor="text1"/>
                <w:sz w:val="26"/>
                <w:szCs w:val="26"/>
                <w:lang w:eastAsia="lv-LV"/>
              </w:rPr>
              <w:t xml:space="preserve"> laikus, lai </w:t>
            </w:r>
            <w:r>
              <w:rPr>
                <w:rFonts w:ascii="Times New Roman" w:eastAsia="Times New Roman" w:hAnsi="Times New Roman" w:cs="Times New Roman"/>
                <w:color w:val="000000" w:themeColor="text1"/>
                <w:sz w:val="26"/>
                <w:szCs w:val="26"/>
                <w:lang w:eastAsia="lv-LV"/>
              </w:rPr>
              <w:t>[EK]</w:t>
            </w:r>
            <w:r w:rsidRPr="00B60015">
              <w:rPr>
                <w:rFonts w:ascii="Times New Roman" w:eastAsia="Times New Roman" w:hAnsi="Times New Roman" w:cs="Times New Roman"/>
                <w:color w:val="000000" w:themeColor="text1"/>
                <w:sz w:val="26"/>
                <w:szCs w:val="26"/>
                <w:lang w:eastAsia="lv-LV"/>
              </w:rPr>
              <w:t xml:space="preserve"> varētu iesniegt savas piezīmes. Ja </w:t>
            </w:r>
            <w:r>
              <w:rPr>
                <w:rFonts w:ascii="Times New Roman" w:eastAsia="Times New Roman" w:hAnsi="Times New Roman" w:cs="Times New Roman"/>
                <w:color w:val="000000" w:themeColor="text1"/>
                <w:sz w:val="26"/>
                <w:szCs w:val="26"/>
                <w:lang w:eastAsia="lv-LV"/>
              </w:rPr>
              <w:t>[EK]</w:t>
            </w:r>
            <w:r w:rsidRPr="00B60015">
              <w:rPr>
                <w:rFonts w:ascii="Times New Roman" w:eastAsia="Times New Roman" w:hAnsi="Times New Roman" w:cs="Times New Roman"/>
                <w:color w:val="000000" w:themeColor="text1"/>
                <w:sz w:val="26"/>
                <w:szCs w:val="26"/>
                <w:lang w:eastAsia="lv-LV"/>
              </w:rPr>
              <w:t xml:space="preserve"> atzīst, ka, ievērojot 107. pantu, šādi plāni nav saderīgi ar iekšējo tirgu, tā nevilcinoties sāk 2. punktā paredzēto procedūru. Attiecīgā dalībvalsts nesāk īstenot pašas ierosinātos pasākumus, kamēr šī procedūra nav beigusies ar galīgo lēmumu.”</w:t>
            </w:r>
          </w:p>
          <w:p w14:paraId="49770FED" w14:textId="77777777" w:rsidR="00254ABB" w:rsidRPr="00B60015"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 xml:space="preserve">No LESD 107. panta 1. punkta izriet, ka pasākums ir uzskatāms par valsts atbalstu, ja tas atbilst četrām </w:t>
            </w:r>
            <w:r>
              <w:rPr>
                <w:rFonts w:ascii="Times New Roman" w:eastAsia="Times New Roman" w:hAnsi="Times New Roman" w:cs="Times New Roman"/>
                <w:color w:val="000000" w:themeColor="text1"/>
                <w:sz w:val="26"/>
                <w:szCs w:val="26"/>
                <w:lang w:eastAsia="lv-LV"/>
              </w:rPr>
              <w:t>kumulatīvām</w:t>
            </w:r>
            <w:r w:rsidRPr="00B60015">
              <w:rPr>
                <w:rFonts w:ascii="Times New Roman" w:eastAsia="Times New Roman" w:hAnsi="Times New Roman" w:cs="Times New Roman"/>
                <w:color w:val="000000" w:themeColor="text1"/>
                <w:sz w:val="26"/>
                <w:szCs w:val="26"/>
                <w:lang w:eastAsia="lv-LV"/>
              </w:rPr>
              <w:t xml:space="preserve"> pazīmēm:</w:t>
            </w:r>
          </w:p>
          <w:p w14:paraId="77AAD92D" w14:textId="77777777" w:rsidR="00254ABB" w:rsidRPr="00B60015" w:rsidRDefault="00254ABB" w:rsidP="00254ABB">
            <w:pPr>
              <w:pStyle w:val="Sarakstarindkopa"/>
              <w:numPr>
                <w:ilvl w:val="0"/>
                <w:numId w:val="3"/>
              </w:numPr>
              <w:shd w:val="clear" w:color="auto" w:fill="FFFFFF"/>
              <w:spacing w:after="160" w:line="259" w:lineRule="auto"/>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valsts un / vai pašvaldību līdzekļu nodošana;</w:t>
            </w:r>
          </w:p>
          <w:p w14:paraId="705A8AA2" w14:textId="77777777" w:rsidR="00254ABB" w:rsidRPr="00B60015" w:rsidRDefault="00254ABB" w:rsidP="00254ABB">
            <w:pPr>
              <w:pStyle w:val="Sarakstarindkopa"/>
              <w:numPr>
                <w:ilvl w:val="0"/>
                <w:numId w:val="3"/>
              </w:numPr>
              <w:shd w:val="clear" w:color="auto" w:fill="FFFFFF"/>
              <w:spacing w:after="160" w:line="259" w:lineRule="auto"/>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lastRenderedPageBreak/>
              <w:t>selektīva priekšrocība;</w:t>
            </w:r>
          </w:p>
          <w:p w14:paraId="5C854948" w14:textId="77777777" w:rsidR="00254ABB" w:rsidRDefault="00254ABB" w:rsidP="00254ABB">
            <w:pPr>
              <w:pStyle w:val="Sarakstarindkopa"/>
              <w:numPr>
                <w:ilvl w:val="0"/>
                <w:numId w:val="3"/>
              </w:numPr>
              <w:shd w:val="clear" w:color="auto" w:fill="FFFFFF"/>
              <w:spacing w:after="160" w:line="259" w:lineRule="auto"/>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ietekmē tirdzniecību starp dalībvalstīm;</w:t>
            </w:r>
          </w:p>
          <w:p w14:paraId="47587E1A" w14:textId="77777777" w:rsidR="00254ABB" w:rsidRDefault="00254ABB" w:rsidP="00254ABB">
            <w:pPr>
              <w:pStyle w:val="Sarakstarindkopa"/>
              <w:numPr>
                <w:ilvl w:val="0"/>
                <w:numId w:val="3"/>
              </w:numPr>
              <w:shd w:val="clear" w:color="auto" w:fill="FFFFFF"/>
              <w:spacing w:after="160" w:line="259" w:lineRule="auto"/>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ietekmē konkurenci.</w:t>
            </w:r>
          </w:p>
          <w:p w14:paraId="7BF8DD18" w14:textId="60C381D4" w:rsidR="00254ABB" w:rsidRPr="00254ABB" w:rsidRDefault="00254ABB" w:rsidP="00254ABB">
            <w:pPr>
              <w:shd w:val="clear" w:color="auto" w:fill="FFFFFF"/>
              <w:jc w:val="both"/>
              <w:rPr>
                <w:rFonts w:ascii="Times New Roman" w:eastAsia="Times New Roman" w:hAnsi="Times New Roman" w:cs="Times New Roman"/>
                <w:color w:val="000000" w:themeColor="text1"/>
                <w:sz w:val="26"/>
                <w:szCs w:val="26"/>
                <w:lang w:eastAsia="lv-LV"/>
              </w:rPr>
            </w:pPr>
            <w:r w:rsidRPr="00254ABB">
              <w:rPr>
                <w:rFonts w:ascii="Times New Roman" w:eastAsia="Times New Roman" w:hAnsi="Times New Roman" w:cs="Times New Roman"/>
                <w:color w:val="000000" w:themeColor="text1"/>
                <w:sz w:val="26"/>
                <w:szCs w:val="26"/>
                <w:lang w:eastAsia="lv-LV"/>
              </w:rPr>
              <w:t>KAKL 5. pants atkārto minētos atbalsta jēdzienus, taču neietekmē un nevar ietekmēt to saturu, jo ES tiesību normas ir hierarhiski augstākas par nacionālā likuma normām. Tātad atbilde uz jautājumu par Pašvaldības veikta pasākuma atbilstību valsts atbalsta pazīmēm ir meklējama tieši ES tiesību normās.</w:t>
            </w:r>
          </w:p>
          <w:p w14:paraId="1546CCCC" w14:textId="77777777" w:rsidR="00254ABB" w:rsidRPr="00B60015"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Saistībā ar pazīmi “selektīva priekšrocība” norādams, ka a</w:t>
            </w:r>
            <w:r w:rsidRPr="00B60015">
              <w:rPr>
                <w:rFonts w:ascii="Times New Roman" w:eastAsia="Times New Roman" w:hAnsi="Times New Roman" w:cs="Times New Roman"/>
                <w:color w:val="000000" w:themeColor="text1"/>
                <w:sz w:val="26"/>
                <w:szCs w:val="26"/>
                <w:lang w:eastAsia="lv-LV"/>
              </w:rPr>
              <w:t>tbalsta jēdzienā ietilpst nevis visi pasākumi, kas ir par labu ekonomikas dalībniekiem, bet tikai tie, ar kuriem tiek “selektīvi piešķirta priekšrocība konkrētiem uzņēmumiem vai uzņēmumu kategorijām, vai konkrētām tautsaimniecības nozarēm”; tas nozīmē, ka “tīri vispārpiemērojami pasākumi” nav selektīvi un tātad nav valsts atbalsts [</w:t>
            </w:r>
            <w:r>
              <w:rPr>
                <w:rFonts w:ascii="Times New Roman" w:eastAsia="Times New Roman" w:hAnsi="Times New Roman" w:cs="Times New Roman"/>
                <w:color w:val="000000" w:themeColor="text1"/>
                <w:sz w:val="26"/>
                <w:szCs w:val="26"/>
                <w:lang w:eastAsia="lv-LV"/>
              </w:rPr>
              <w:t>EK</w:t>
            </w:r>
            <w:r w:rsidRPr="00B60015">
              <w:rPr>
                <w:rFonts w:ascii="Times New Roman" w:eastAsia="Times New Roman" w:hAnsi="Times New Roman" w:cs="Times New Roman"/>
                <w:color w:val="000000" w:themeColor="text1"/>
                <w:sz w:val="26"/>
                <w:szCs w:val="26"/>
                <w:lang w:eastAsia="lv-LV"/>
              </w:rPr>
              <w:t xml:space="preserve"> paziņojums par </w:t>
            </w:r>
            <w:r>
              <w:rPr>
                <w:rFonts w:ascii="Times New Roman" w:eastAsia="Times New Roman" w:hAnsi="Times New Roman" w:cs="Times New Roman"/>
                <w:color w:val="000000" w:themeColor="text1"/>
                <w:sz w:val="26"/>
                <w:szCs w:val="26"/>
                <w:lang w:eastAsia="lv-LV"/>
              </w:rPr>
              <w:t>LESD</w:t>
            </w:r>
            <w:r w:rsidRPr="00B60015">
              <w:rPr>
                <w:rFonts w:ascii="Times New Roman" w:eastAsia="Times New Roman" w:hAnsi="Times New Roman" w:cs="Times New Roman"/>
                <w:color w:val="000000" w:themeColor="text1"/>
                <w:sz w:val="26"/>
                <w:szCs w:val="26"/>
                <w:lang w:eastAsia="lv-LV"/>
              </w:rPr>
              <w:t xml:space="preserve"> 107. panta 1. punktā minēto valsts atbalsta jēdzienu, ES Oficiālais Vēstnesis, 2016, C 262, ¶¶117–118].</w:t>
            </w:r>
          </w:p>
          <w:p w14:paraId="582B5F56" w14:textId="77777777" w:rsidR="00254ABB" w:rsidRPr="00B60015"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KAKL</w:t>
            </w:r>
            <w:r w:rsidRPr="00B60015">
              <w:rPr>
                <w:rFonts w:ascii="Times New Roman" w:eastAsia="Times New Roman" w:hAnsi="Times New Roman" w:cs="Times New Roman"/>
                <w:color w:val="000000" w:themeColor="text1"/>
                <w:sz w:val="26"/>
                <w:szCs w:val="26"/>
                <w:lang w:eastAsia="lv-LV"/>
              </w:rPr>
              <w:t xml:space="preserve"> 5. pants šādi formulē no LESD 107. panta 1. punkta izrietošo selektivitātes kritēriju:</w:t>
            </w:r>
          </w:p>
          <w:p w14:paraId="12F54D0C" w14:textId="77777777" w:rsidR="00254ABB" w:rsidRPr="00B60015"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“5.pants. Komercdarbības atbalstu raksturojošās pazīmes</w:t>
            </w:r>
          </w:p>
          <w:p w14:paraId="679980ED" w14:textId="77777777" w:rsidR="00254ABB" w:rsidRPr="00B60015"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w:t>
            </w:r>
          </w:p>
          <w:p w14:paraId="06F3ED73" w14:textId="77777777" w:rsidR="00254ABB" w:rsidRPr="00B60015"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3) finansiālā palīdzība neattiecas uz visām komercsabiedrībām vienādi, bet ir paredzēta komercsabiedrībām atkarībā no to lieluma, darbības veida vai atrašanās vietas, kā arī citiem diferencējošiem kritērijiem vai arī ir paredzēta tikai konkrētai komercsabiedrībai;”</w:t>
            </w:r>
          </w:p>
          <w:p w14:paraId="56E91716" w14:textId="77777777" w:rsidR="00254ABB"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 xml:space="preserve">ES </w:t>
            </w:r>
            <w:r>
              <w:rPr>
                <w:rFonts w:ascii="Times New Roman" w:eastAsia="Times New Roman" w:hAnsi="Times New Roman" w:cs="Times New Roman"/>
                <w:color w:val="000000" w:themeColor="text1"/>
                <w:sz w:val="26"/>
                <w:szCs w:val="26"/>
                <w:lang w:eastAsia="lv-LV"/>
              </w:rPr>
              <w:t>t</w:t>
            </w:r>
            <w:r w:rsidRPr="00B60015">
              <w:rPr>
                <w:rFonts w:ascii="Times New Roman" w:eastAsia="Times New Roman" w:hAnsi="Times New Roman" w:cs="Times New Roman"/>
                <w:color w:val="000000" w:themeColor="text1"/>
                <w:sz w:val="26"/>
                <w:szCs w:val="26"/>
                <w:lang w:eastAsia="lv-LV"/>
              </w:rPr>
              <w:t>iesa nesenā spriedumā secināja, ka nodokļu atbrīvojums grupai, kurā ir gan “uzņēmumi”, gan subjekti, kas neveic komercdarbību, nav selektīvs, jo atbrīvojums ir balstīts uz “neitrālu kritēriju”, kas piemērojams neatkarīgi no darbības nozares, komercdarbības vai juridiskās formas [sk. 2025. gada 29. aprīļa spriedumu lietā C‑453/23 E. sp. z o.o. pret Prezydent Miasta Mielca, ECLI:EU:C:2025:285</w:t>
            </w:r>
            <w:r>
              <w:rPr>
                <w:rFonts w:ascii="Times New Roman" w:eastAsia="Times New Roman" w:hAnsi="Times New Roman" w:cs="Times New Roman"/>
                <w:color w:val="000000" w:themeColor="text1"/>
                <w:sz w:val="26"/>
                <w:szCs w:val="26"/>
                <w:lang w:eastAsia="lv-LV"/>
              </w:rPr>
              <w:t>]</w:t>
            </w:r>
          </w:p>
          <w:p w14:paraId="49D631F2" w14:textId="47279DAE" w:rsidR="00B747CE"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sidRPr="00C96D5D">
              <w:rPr>
                <w:rFonts w:ascii="Times New Roman" w:eastAsia="Times New Roman" w:hAnsi="Times New Roman" w:cs="Times New Roman"/>
                <w:color w:val="000000" w:themeColor="text1"/>
                <w:sz w:val="26"/>
                <w:szCs w:val="26"/>
                <w:lang w:eastAsia="lv-LV"/>
              </w:rPr>
              <w:t xml:space="preserve">Līdzīga pieeja izriet arī no </w:t>
            </w:r>
            <w:r>
              <w:rPr>
                <w:rFonts w:ascii="Times New Roman" w:eastAsia="Times New Roman" w:hAnsi="Times New Roman" w:cs="Times New Roman"/>
                <w:color w:val="000000" w:themeColor="text1"/>
                <w:sz w:val="26"/>
                <w:szCs w:val="26"/>
                <w:lang w:eastAsia="lv-LV"/>
              </w:rPr>
              <w:t>EK</w:t>
            </w:r>
            <w:r w:rsidRPr="00C96D5D">
              <w:rPr>
                <w:rFonts w:ascii="Times New Roman" w:eastAsia="Times New Roman" w:hAnsi="Times New Roman" w:cs="Times New Roman"/>
                <w:color w:val="000000" w:themeColor="text1"/>
                <w:sz w:val="26"/>
                <w:szCs w:val="26"/>
                <w:lang w:eastAsia="lv-LV"/>
              </w:rPr>
              <w:t xml:space="preserve"> lēmumu prakses. Piemēram, </w:t>
            </w:r>
            <w:r>
              <w:rPr>
                <w:rFonts w:ascii="Times New Roman" w:eastAsia="Times New Roman" w:hAnsi="Times New Roman" w:cs="Times New Roman"/>
                <w:color w:val="000000" w:themeColor="text1"/>
                <w:sz w:val="26"/>
                <w:szCs w:val="26"/>
                <w:lang w:eastAsia="lv-LV"/>
              </w:rPr>
              <w:t>EK</w:t>
            </w:r>
            <w:r w:rsidRPr="00C96D5D">
              <w:rPr>
                <w:rFonts w:ascii="Times New Roman" w:eastAsia="Times New Roman" w:hAnsi="Times New Roman" w:cs="Times New Roman"/>
                <w:color w:val="000000" w:themeColor="text1"/>
                <w:sz w:val="26"/>
                <w:szCs w:val="26"/>
                <w:lang w:eastAsia="lv-LV"/>
              </w:rPr>
              <w:t xml:space="preserve"> 2005. gada lēmumā valsts atbalsta lietā Nr. N 229/2005 – Denmark Regional Technology Centres izskatīja Dānijas atbalsta shēmu, kas paredzēja piešķirt finansējumu reģionāliem tehnoloģiju centriem. </w:t>
            </w:r>
            <w:r>
              <w:rPr>
                <w:rFonts w:ascii="Times New Roman" w:eastAsia="Times New Roman" w:hAnsi="Times New Roman" w:cs="Times New Roman"/>
                <w:color w:val="000000" w:themeColor="text1"/>
                <w:sz w:val="26"/>
                <w:szCs w:val="26"/>
                <w:lang w:eastAsia="lv-LV"/>
              </w:rPr>
              <w:t>EK</w:t>
            </w:r>
            <w:r w:rsidRPr="00C96D5D">
              <w:rPr>
                <w:rFonts w:ascii="Times New Roman" w:eastAsia="Times New Roman" w:hAnsi="Times New Roman" w:cs="Times New Roman"/>
                <w:color w:val="000000" w:themeColor="text1"/>
                <w:sz w:val="26"/>
                <w:szCs w:val="26"/>
                <w:lang w:eastAsia="lv-LV"/>
              </w:rPr>
              <w:t xml:space="preserve"> norādīja, ka vispārīgas ar shēmu finansētas aktivitātes nav komercdarbība un pasākums nav selektīvs</w:t>
            </w:r>
            <w:r>
              <w:rPr>
                <w:rFonts w:ascii="Times New Roman" w:eastAsia="Times New Roman" w:hAnsi="Times New Roman" w:cs="Times New Roman"/>
                <w:color w:val="000000" w:themeColor="text1"/>
                <w:sz w:val="26"/>
                <w:szCs w:val="26"/>
                <w:lang w:eastAsia="lv-LV"/>
              </w:rPr>
              <w:t>.</w:t>
            </w:r>
          </w:p>
          <w:p w14:paraId="1AF55286" w14:textId="77777777" w:rsidR="00254ABB"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p>
          <w:p w14:paraId="63D65F90" w14:textId="30BBD393" w:rsidR="00B747CE" w:rsidRPr="0078751D" w:rsidRDefault="00B747CE" w:rsidP="002752AD">
            <w:pPr>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Ar saistošajiem noteikumiem </w:t>
            </w:r>
            <w:r w:rsidRPr="00FB6941">
              <w:rPr>
                <w:rFonts w:ascii="Times New Roman" w:eastAsia="Times New Roman" w:hAnsi="Times New Roman" w:cs="Times New Roman"/>
                <w:color w:val="000000" w:themeColor="text1"/>
                <w:sz w:val="26"/>
                <w:szCs w:val="26"/>
                <w:lang w:eastAsia="lv-LV"/>
              </w:rPr>
              <w:t>Rīgas domes Pilsētvides attīstības un kvalitātes komisija</w:t>
            </w:r>
            <w:r>
              <w:rPr>
                <w:rFonts w:ascii="Times New Roman" w:eastAsia="Times New Roman" w:hAnsi="Times New Roman" w:cs="Times New Roman"/>
                <w:color w:val="000000" w:themeColor="text1"/>
                <w:sz w:val="26"/>
                <w:szCs w:val="26"/>
                <w:lang w:eastAsia="lv-LV"/>
              </w:rPr>
              <w:t>i (turpmāk – komisija)</w:t>
            </w:r>
            <w:r w:rsidR="004B08A1">
              <w:rPr>
                <w:rFonts w:ascii="Times New Roman" w:eastAsia="Times New Roman" w:hAnsi="Times New Roman" w:cs="Times New Roman"/>
                <w:color w:val="000000" w:themeColor="text1"/>
                <w:sz w:val="26"/>
                <w:szCs w:val="26"/>
                <w:lang w:eastAsia="lv-LV"/>
              </w:rPr>
              <w:t xml:space="preserve"> deleģētas tiesības </w:t>
            </w:r>
            <w:r w:rsidR="004B08A1" w:rsidRPr="004B08A1">
              <w:rPr>
                <w:rFonts w:ascii="Times New Roman" w:eastAsia="Times New Roman" w:hAnsi="Times New Roman" w:cs="Times New Roman"/>
                <w:color w:val="000000" w:themeColor="text1"/>
                <w:sz w:val="26"/>
                <w:szCs w:val="26"/>
                <w:lang w:eastAsia="lv-LV"/>
              </w:rPr>
              <w:t>minimālo līdzfinansējuma apmēru būvdarbu vai atbalstāmo darbību izdevumu kompensācijai</w:t>
            </w:r>
            <w:r w:rsidR="004B08A1">
              <w:rPr>
                <w:rFonts w:ascii="Times New Roman" w:eastAsia="Times New Roman" w:hAnsi="Times New Roman" w:cs="Times New Roman"/>
                <w:color w:val="000000" w:themeColor="text1"/>
                <w:sz w:val="26"/>
                <w:szCs w:val="26"/>
                <w:lang w:eastAsia="lv-LV"/>
              </w:rPr>
              <w:t xml:space="preserve">. </w:t>
            </w:r>
            <w:r w:rsidR="003F23B2">
              <w:rPr>
                <w:rFonts w:ascii="Times New Roman" w:eastAsia="Times New Roman" w:hAnsi="Times New Roman" w:cs="Times New Roman"/>
                <w:color w:val="000000" w:themeColor="text1"/>
                <w:sz w:val="26"/>
                <w:szCs w:val="26"/>
                <w:lang w:eastAsia="lv-LV"/>
              </w:rPr>
              <w:t>Minimālais līdzfinansējuma apmērs nosakāms grozāmo saistošo noteikumu 7.1.</w:t>
            </w:r>
            <w:r w:rsidR="00FB4196">
              <w:rPr>
                <w:rFonts w:ascii="Times New Roman" w:eastAsia="Times New Roman" w:hAnsi="Times New Roman" w:cs="Times New Roman"/>
                <w:color w:val="000000" w:themeColor="text1"/>
                <w:sz w:val="26"/>
                <w:szCs w:val="26"/>
                <w:lang w:eastAsia="lv-LV"/>
              </w:rPr>
              <w:t xml:space="preserve"> </w:t>
            </w:r>
            <w:r w:rsidR="003F23B2">
              <w:rPr>
                <w:rFonts w:ascii="Times New Roman" w:eastAsia="Times New Roman" w:hAnsi="Times New Roman" w:cs="Times New Roman"/>
                <w:color w:val="000000" w:themeColor="text1"/>
                <w:sz w:val="26"/>
                <w:szCs w:val="26"/>
                <w:lang w:eastAsia="lv-LV"/>
              </w:rPr>
              <w:t xml:space="preserve">apakšpunktā </w:t>
            </w:r>
            <w:r w:rsidR="009C4C5E">
              <w:rPr>
                <w:rFonts w:ascii="Times New Roman" w:eastAsia="Times New Roman" w:hAnsi="Times New Roman" w:cs="Times New Roman"/>
                <w:color w:val="000000" w:themeColor="text1"/>
                <w:sz w:val="26"/>
                <w:szCs w:val="26"/>
                <w:lang w:eastAsia="lv-LV"/>
              </w:rPr>
              <w:t>norādīto izdevumu kompensācijai, ievērojot</w:t>
            </w:r>
            <w:r w:rsidR="002752AD">
              <w:rPr>
                <w:rFonts w:ascii="Times New Roman" w:eastAsia="Times New Roman" w:hAnsi="Times New Roman" w:cs="Times New Roman"/>
                <w:color w:val="000000" w:themeColor="text1"/>
                <w:sz w:val="26"/>
                <w:szCs w:val="26"/>
                <w:lang w:eastAsia="lv-LV"/>
              </w:rPr>
              <w:t xml:space="preserve"> to, </w:t>
            </w:r>
            <w:r w:rsidR="009C4C5E">
              <w:rPr>
                <w:rFonts w:ascii="Times New Roman" w:eastAsia="Times New Roman" w:hAnsi="Times New Roman" w:cs="Times New Roman"/>
                <w:color w:val="000000" w:themeColor="text1"/>
                <w:sz w:val="26"/>
                <w:szCs w:val="26"/>
                <w:lang w:eastAsia="lv-LV"/>
              </w:rPr>
              <w:t>ka</w:t>
            </w:r>
            <w:r w:rsidR="002752AD">
              <w:rPr>
                <w:rFonts w:ascii="Times New Roman" w:eastAsia="Times New Roman" w:hAnsi="Times New Roman" w:cs="Times New Roman"/>
                <w:color w:val="000000" w:themeColor="text1"/>
                <w:sz w:val="26"/>
                <w:szCs w:val="26"/>
                <w:lang w:eastAsia="lv-LV"/>
              </w:rPr>
              <w:t xml:space="preserve"> l</w:t>
            </w:r>
            <w:r w:rsidR="002752AD" w:rsidRPr="002752AD">
              <w:rPr>
                <w:rFonts w:ascii="Times New Roman" w:eastAsia="Times New Roman" w:hAnsi="Times New Roman" w:cs="Times New Roman"/>
                <w:color w:val="000000" w:themeColor="text1"/>
                <w:sz w:val="26"/>
                <w:szCs w:val="26"/>
                <w:lang w:eastAsia="lv-LV"/>
              </w:rPr>
              <w:t xml:space="preserve">īdzfinansējuma maksimālā intensitāte 50 % </w:t>
            </w:r>
            <w:r w:rsidR="002752AD">
              <w:rPr>
                <w:rFonts w:ascii="Times New Roman" w:eastAsia="Times New Roman" w:hAnsi="Times New Roman" w:cs="Times New Roman"/>
                <w:color w:val="000000" w:themeColor="text1"/>
                <w:sz w:val="26"/>
                <w:szCs w:val="26"/>
                <w:lang w:eastAsia="lv-LV"/>
              </w:rPr>
              <w:t xml:space="preserve">apmērā </w:t>
            </w:r>
            <w:r w:rsidR="002752AD" w:rsidRPr="002752AD">
              <w:rPr>
                <w:rFonts w:ascii="Times New Roman" w:eastAsia="Times New Roman" w:hAnsi="Times New Roman" w:cs="Times New Roman"/>
                <w:color w:val="000000" w:themeColor="text1"/>
                <w:sz w:val="26"/>
                <w:szCs w:val="26"/>
                <w:lang w:eastAsia="lv-LV"/>
              </w:rPr>
              <w:t>no apstiprinātā projekta attiecināmo izmaksu kopsummas</w:t>
            </w:r>
            <w:r w:rsidR="002752AD">
              <w:rPr>
                <w:rFonts w:ascii="Times New Roman" w:eastAsia="Times New Roman" w:hAnsi="Times New Roman" w:cs="Times New Roman"/>
                <w:color w:val="000000" w:themeColor="text1"/>
                <w:sz w:val="26"/>
                <w:szCs w:val="26"/>
                <w:lang w:eastAsia="lv-LV"/>
              </w:rPr>
              <w:t xml:space="preserve"> paliek spēkā katram projektam.</w:t>
            </w:r>
            <w:r w:rsidR="009C4C5E">
              <w:rPr>
                <w:rFonts w:ascii="Times New Roman" w:eastAsia="Times New Roman" w:hAnsi="Times New Roman" w:cs="Times New Roman"/>
                <w:color w:val="000000" w:themeColor="text1"/>
                <w:sz w:val="26"/>
                <w:szCs w:val="26"/>
                <w:lang w:eastAsia="lv-LV"/>
              </w:rPr>
              <w:t xml:space="preserve"> </w:t>
            </w:r>
          </w:p>
        </w:tc>
      </w:tr>
      <w:tr w:rsidR="00FA3FE4" w14:paraId="6F6E7C67" w14:textId="77777777" w:rsidTr="00FB4361">
        <w:tc>
          <w:tcPr>
            <w:tcW w:w="9247" w:type="dxa"/>
          </w:tcPr>
          <w:p w14:paraId="01527FE5" w14:textId="365E9C2F" w:rsidR="007752F6" w:rsidRPr="00E4791C" w:rsidRDefault="003A63EA"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lastRenderedPageBreak/>
              <w:t xml:space="preserve">2. Fiskālā ietekme uz pašvaldības budžetu, iekļaujot attiecīgus aprēķinus </w:t>
            </w:r>
          </w:p>
          <w:p w14:paraId="4D4EC729" w14:textId="22BE4CC9" w:rsidR="00825EB0" w:rsidRPr="00825EB0" w:rsidRDefault="00825EB0" w:rsidP="00825EB0">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25EB0">
              <w:rPr>
                <w:rFonts w:ascii="Times New Roman" w:eastAsia="Times New Roman" w:hAnsi="Times New Roman" w:cs="Times New Roman"/>
                <w:color w:val="000000" w:themeColor="text1"/>
                <w:sz w:val="26"/>
                <w:szCs w:val="26"/>
                <w:lang w:eastAsia="lv-LV"/>
              </w:rPr>
              <w:t xml:space="preserve">Pašvaldība </w:t>
            </w:r>
            <w:r>
              <w:rPr>
                <w:rFonts w:ascii="Times New Roman" w:eastAsia="Times New Roman" w:hAnsi="Times New Roman" w:cs="Times New Roman"/>
                <w:color w:val="000000" w:themeColor="text1"/>
                <w:sz w:val="26"/>
                <w:szCs w:val="26"/>
                <w:lang w:eastAsia="lv-LV"/>
              </w:rPr>
              <w:t>2025. gadā</w:t>
            </w:r>
            <w:r w:rsidRPr="00825EB0">
              <w:rPr>
                <w:rFonts w:ascii="Times New Roman" w:eastAsia="Times New Roman" w:hAnsi="Times New Roman" w:cs="Times New Roman"/>
                <w:color w:val="000000" w:themeColor="text1"/>
                <w:sz w:val="26"/>
                <w:szCs w:val="26"/>
                <w:lang w:eastAsia="lv-LV"/>
              </w:rPr>
              <w:t xml:space="preserve">: </w:t>
            </w:r>
          </w:p>
          <w:p w14:paraId="623B4071" w14:textId="77777777" w:rsidR="00825EB0" w:rsidRPr="00825EB0" w:rsidRDefault="00825EB0" w:rsidP="00825EB0">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25EB0">
              <w:rPr>
                <w:rFonts w:ascii="Times New Roman" w:eastAsia="Times New Roman" w:hAnsi="Times New Roman" w:cs="Times New Roman"/>
                <w:color w:val="000000" w:themeColor="text1"/>
                <w:sz w:val="26"/>
                <w:szCs w:val="26"/>
                <w:lang w:eastAsia="lv-LV"/>
              </w:rPr>
              <w:t>1)</w:t>
            </w:r>
            <w:r w:rsidRPr="00825EB0">
              <w:rPr>
                <w:rFonts w:ascii="Times New Roman" w:eastAsia="Times New Roman" w:hAnsi="Times New Roman" w:cs="Times New Roman"/>
                <w:color w:val="000000" w:themeColor="text1"/>
                <w:sz w:val="26"/>
                <w:szCs w:val="26"/>
                <w:lang w:eastAsia="lv-LV"/>
              </w:rPr>
              <w:tab/>
              <w:t>30% no kopību projektiem samazināja palīdzības apmēru vairāk kā par 40%;</w:t>
            </w:r>
          </w:p>
          <w:p w14:paraId="16241302" w14:textId="77777777" w:rsidR="00825EB0" w:rsidRPr="00825EB0" w:rsidRDefault="00825EB0" w:rsidP="00825EB0">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25EB0">
              <w:rPr>
                <w:rFonts w:ascii="Times New Roman" w:eastAsia="Times New Roman" w:hAnsi="Times New Roman" w:cs="Times New Roman"/>
                <w:color w:val="000000" w:themeColor="text1"/>
                <w:sz w:val="26"/>
                <w:szCs w:val="26"/>
                <w:lang w:eastAsia="lv-LV"/>
              </w:rPr>
              <w:t>2)</w:t>
            </w:r>
            <w:r w:rsidRPr="00825EB0">
              <w:rPr>
                <w:rFonts w:ascii="Times New Roman" w:eastAsia="Times New Roman" w:hAnsi="Times New Roman" w:cs="Times New Roman"/>
                <w:color w:val="000000" w:themeColor="text1"/>
                <w:sz w:val="26"/>
                <w:szCs w:val="26"/>
                <w:lang w:eastAsia="lv-LV"/>
              </w:rPr>
              <w:tab/>
              <w:t>veica 2115 personu papildus pārbaudes publiskajās informācijas sistēmās;</w:t>
            </w:r>
          </w:p>
          <w:p w14:paraId="51DDC796" w14:textId="77777777" w:rsidR="00D865F3" w:rsidRDefault="00825EB0" w:rsidP="00825EB0">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25EB0">
              <w:rPr>
                <w:rFonts w:ascii="Times New Roman" w:eastAsia="Times New Roman" w:hAnsi="Times New Roman" w:cs="Times New Roman"/>
                <w:color w:val="000000" w:themeColor="text1"/>
                <w:sz w:val="26"/>
                <w:szCs w:val="26"/>
                <w:lang w:eastAsia="lv-LV"/>
              </w:rPr>
              <w:t>3)</w:t>
            </w:r>
            <w:r w:rsidRPr="00825EB0">
              <w:rPr>
                <w:rFonts w:ascii="Times New Roman" w:eastAsia="Times New Roman" w:hAnsi="Times New Roman" w:cs="Times New Roman"/>
                <w:color w:val="000000" w:themeColor="text1"/>
                <w:sz w:val="26"/>
                <w:szCs w:val="26"/>
                <w:lang w:eastAsia="lv-LV"/>
              </w:rPr>
              <w:tab/>
              <w:t>35 administratīvo aktu vietā izdots 151 administratīvais akts, tai skaitā 116 par nesniegto “komercdarbības atbalstu”.</w:t>
            </w:r>
          </w:p>
          <w:p w14:paraId="111F0E26" w14:textId="1185F502" w:rsidR="00825EB0" w:rsidRPr="00825EB0" w:rsidRDefault="00825EB0" w:rsidP="00825EB0">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25EB0">
              <w:rPr>
                <w:rFonts w:ascii="Times New Roman" w:eastAsia="Times New Roman" w:hAnsi="Times New Roman" w:cs="Times New Roman"/>
                <w:color w:val="000000" w:themeColor="text1"/>
                <w:sz w:val="26"/>
                <w:szCs w:val="26"/>
                <w:lang w:eastAsia="lv-LV"/>
              </w:rPr>
              <w:t>Sa</w:t>
            </w:r>
            <w:r>
              <w:rPr>
                <w:rFonts w:ascii="Times New Roman" w:eastAsia="Times New Roman" w:hAnsi="Times New Roman" w:cs="Times New Roman"/>
                <w:color w:val="000000" w:themeColor="text1"/>
                <w:sz w:val="26"/>
                <w:szCs w:val="26"/>
                <w:lang w:eastAsia="lv-LV"/>
              </w:rPr>
              <w:t>istošie noteikumi izslēdz šādu bezjēdzīgu birokrātisko procedūru</w:t>
            </w:r>
            <w:r w:rsidR="00103F6F">
              <w:rPr>
                <w:rFonts w:ascii="Times New Roman" w:eastAsia="Times New Roman" w:hAnsi="Times New Roman" w:cs="Times New Roman"/>
                <w:color w:val="000000" w:themeColor="text1"/>
                <w:sz w:val="26"/>
                <w:szCs w:val="26"/>
                <w:lang w:eastAsia="lv-LV"/>
              </w:rPr>
              <w:t xml:space="preserve"> veikšanu.</w:t>
            </w:r>
          </w:p>
        </w:tc>
      </w:tr>
      <w:tr w:rsidR="00FA3FE4" w14:paraId="7EF01694" w14:textId="77777777" w:rsidTr="00FB4361">
        <w:tc>
          <w:tcPr>
            <w:tcW w:w="9247" w:type="dxa"/>
          </w:tcPr>
          <w:p w14:paraId="15A7EBD1" w14:textId="05B65B68" w:rsidR="007752F6" w:rsidRPr="00E4791C" w:rsidRDefault="003A63EA"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lastRenderedPageBreak/>
              <w:t>3. Sociālā ietekme, ietekme uz vidi, iedzīvotāju veselību, uzņēmējdarbības vidi pašvaldības teritorijā, kā arī plānotā regulējuma ietekme uz konkurenci (aktuālā situācija, prognozes tirgū un atbilstība brīvai un godīgai konkurencei)</w:t>
            </w:r>
          </w:p>
          <w:p w14:paraId="68221798" w14:textId="2A221F55" w:rsidR="00D865F3" w:rsidRPr="00E4791C" w:rsidRDefault="004618AA" w:rsidP="00054249">
            <w:pPr>
              <w:shd w:val="clear" w:color="auto" w:fill="FFFFFF"/>
              <w:ind w:firstLine="731"/>
              <w:jc w:val="both"/>
              <w:rPr>
                <w:rFonts w:ascii="Times New Roman" w:eastAsia="Times New Roman" w:hAnsi="Times New Roman" w:cs="Times New Roman"/>
                <w:b/>
                <w:bCs/>
                <w:color w:val="000000" w:themeColor="text1"/>
                <w:sz w:val="26"/>
                <w:szCs w:val="26"/>
                <w:lang w:eastAsia="lv-LV"/>
              </w:rPr>
            </w:pPr>
            <w:r>
              <w:rPr>
                <w:rFonts w:ascii="Times New Roman" w:hAnsi="Times New Roman" w:cs="Times New Roman"/>
                <w:sz w:val="26"/>
                <w:szCs w:val="26"/>
              </w:rPr>
              <w:t>S</w:t>
            </w:r>
            <w:r w:rsidR="003A63EA" w:rsidRPr="00FB6941">
              <w:rPr>
                <w:rFonts w:ascii="Times New Roman" w:hAnsi="Times New Roman" w:cs="Times New Roman"/>
                <w:sz w:val="26"/>
                <w:szCs w:val="26"/>
              </w:rPr>
              <w:t xml:space="preserve">aistošie noteikumi </w:t>
            </w:r>
            <w:r w:rsidR="00103F6F">
              <w:rPr>
                <w:rFonts w:ascii="Times New Roman" w:hAnsi="Times New Roman" w:cs="Times New Roman"/>
                <w:sz w:val="26"/>
                <w:szCs w:val="26"/>
              </w:rPr>
              <w:t>palielinās līdzfinansējuma programmu pievilcīgumu īpaši mājokļu kopīpašnieku ar sadrumstalotu kopīpašnieku struktūru vidū.</w:t>
            </w:r>
          </w:p>
        </w:tc>
      </w:tr>
      <w:tr w:rsidR="00FA3FE4" w14:paraId="6251B64A" w14:textId="77777777" w:rsidTr="00FB4361">
        <w:tc>
          <w:tcPr>
            <w:tcW w:w="9247" w:type="dxa"/>
          </w:tcPr>
          <w:p w14:paraId="50703145" w14:textId="3FDD459A" w:rsidR="007752F6" w:rsidRPr="00E4791C" w:rsidRDefault="003A63EA" w:rsidP="00CD5B22">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4. Ietekme uz administratīvajām procedūrām un to izmaksām gan attiecībā uz saimnieciskās darbības veicējiem, gan fiziskajām personām un nevalstiskā sektora organizācijām, gan budžeta finansētām institūcijām</w:t>
            </w:r>
          </w:p>
          <w:p w14:paraId="640E3A33" w14:textId="22FD5B0E"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xml:space="preserve">Saistošo noteikumu piemērošanos jautājumos kompetentās iestādes ir pašvaldības Īpašuma departaments (turpmāk </w:t>
            </w:r>
            <w:r w:rsidRPr="00FB6941">
              <w:rPr>
                <w:rFonts w:ascii="Times New Roman" w:eastAsia="Times New Roman" w:hAnsi="Times New Roman" w:cs="Times New Roman"/>
                <w:color w:val="000000" w:themeColor="text1"/>
                <w:sz w:val="26"/>
                <w:szCs w:val="26"/>
                <w:lang w:eastAsia="lv-LV"/>
              </w:rPr>
              <w:softHyphen/>
              <w:t>– departaments) un komisija.</w:t>
            </w:r>
          </w:p>
          <w:p w14:paraId="10DBB396" w14:textId="77777777"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Saistošo noteikumu ietvaros īstenojamās procedūras galvenie posmi ir:</w:t>
            </w:r>
          </w:p>
          <w:p w14:paraId="57853B09" w14:textId="77777777"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konkursa nolikuma projekta sagatavošana, apstiprināšana un publicēšana;</w:t>
            </w:r>
          </w:p>
          <w:p w14:paraId="2D36B54B" w14:textId="77777777"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xml:space="preserve">- privātpersonu sagatavotu konkursa projektu iesniegšana iestādē nolikumā noteiktajā termiņā; </w:t>
            </w:r>
          </w:p>
          <w:p w14:paraId="26D5BCBD" w14:textId="77777777"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projektu pieļaujamības novērtēšana un atbilstoši konkursa nolikumā iekļautajiem kritērijiem nepieļaujamo projektu noraidīšana ar komisijas lēmumu;</w:t>
            </w:r>
          </w:p>
          <w:p w14:paraId="70B664DE" w14:textId="63CDF530"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pieejam</w:t>
            </w:r>
            <w:r>
              <w:rPr>
                <w:rFonts w:ascii="Times New Roman" w:eastAsia="Times New Roman" w:hAnsi="Times New Roman" w:cs="Times New Roman"/>
                <w:color w:val="000000" w:themeColor="text1"/>
                <w:sz w:val="26"/>
                <w:szCs w:val="26"/>
                <w:lang w:eastAsia="lv-LV"/>
              </w:rPr>
              <w:t>ā</w:t>
            </w:r>
            <w:r w:rsidRPr="00FB6941">
              <w:rPr>
                <w:rFonts w:ascii="Times New Roman" w:eastAsia="Times New Roman" w:hAnsi="Times New Roman" w:cs="Times New Roman"/>
                <w:color w:val="000000" w:themeColor="text1"/>
                <w:sz w:val="26"/>
                <w:szCs w:val="26"/>
                <w:lang w:eastAsia="lv-LV"/>
              </w:rPr>
              <w:t xml:space="preserve"> budžeta ietvaros un atbilstoši departamenta administratīv</w:t>
            </w:r>
            <w:r w:rsidR="00300943">
              <w:rPr>
                <w:rFonts w:ascii="Times New Roman" w:eastAsia="Times New Roman" w:hAnsi="Times New Roman" w:cs="Times New Roman"/>
                <w:color w:val="000000" w:themeColor="text1"/>
                <w:sz w:val="26"/>
                <w:szCs w:val="26"/>
                <w:lang w:eastAsia="lv-LV"/>
              </w:rPr>
              <w:t>aj</w:t>
            </w:r>
            <w:r w:rsidRPr="00FB6941">
              <w:rPr>
                <w:rFonts w:ascii="Times New Roman" w:eastAsia="Times New Roman" w:hAnsi="Times New Roman" w:cs="Times New Roman"/>
                <w:color w:val="000000" w:themeColor="text1"/>
                <w:sz w:val="26"/>
                <w:szCs w:val="26"/>
                <w:lang w:eastAsia="lv-LV"/>
              </w:rPr>
              <w:t>ai kapacitātei pieļaujamo projektu apstiprināšana ar komisijas lēmumu;</w:t>
            </w:r>
          </w:p>
          <w:p w14:paraId="20487A0F" w14:textId="77777777"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līguma par līdzfinansētu (apstiprinātu) projektu noslēgšana un projekta īstenošana atbilstoši tā nosacījumiem;</w:t>
            </w:r>
          </w:p>
          <w:p w14:paraId="177F4A06" w14:textId="40E716EB"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xml:space="preserve">- līguma par līdzfinansētu (apstiprinātu) projektu izpildes dokumentācijas iesniegšana un tās </w:t>
            </w:r>
            <w:r>
              <w:rPr>
                <w:rFonts w:ascii="Times New Roman" w:eastAsia="Times New Roman" w:hAnsi="Times New Roman" w:cs="Times New Roman"/>
                <w:color w:val="000000" w:themeColor="text1"/>
                <w:sz w:val="26"/>
                <w:szCs w:val="26"/>
                <w:lang w:eastAsia="lv-LV"/>
              </w:rPr>
              <w:t>iz</w:t>
            </w:r>
            <w:r w:rsidRPr="00FB6941">
              <w:rPr>
                <w:rFonts w:ascii="Times New Roman" w:eastAsia="Times New Roman" w:hAnsi="Times New Roman" w:cs="Times New Roman"/>
                <w:color w:val="000000" w:themeColor="text1"/>
                <w:sz w:val="26"/>
                <w:szCs w:val="26"/>
                <w:lang w:eastAsia="lv-LV"/>
              </w:rPr>
              <w:t>vērtēšana departamentā un akcepta gadījumā</w:t>
            </w:r>
            <w:r w:rsidR="0077520C">
              <w:rPr>
                <w:rFonts w:ascii="Times New Roman" w:eastAsia="Times New Roman" w:hAnsi="Times New Roman" w:cs="Times New Roman"/>
                <w:color w:val="000000" w:themeColor="text1"/>
                <w:sz w:val="26"/>
                <w:szCs w:val="26"/>
                <w:lang w:eastAsia="lv-LV"/>
              </w:rPr>
              <w:t xml:space="preserve"> –</w:t>
            </w:r>
            <w:r w:rsidRPr="00FB6941">
              <w:rPr>
                <w:rFonts w:ascii="Times New Roman" w:eastAsia="Times New Roman" w:hAnsi="Times New Roman" w:cs="Times New Roman"/>
                <w:color w:val="000000" w:themeColor="text1"/>
                <w:sz w:val="26"/>
                <w:szCs w:val="26"/>
                <w:lang w:eastAsia="lv-LV"/>
              </w:rPr>
              <w:t xml:space="preserve"> līdzfinansējuma maksājuma saņemšana.</w:t>
            </w:r>
          </w:p>
          <w:p w14:paraId="094780FB" w14:textId="2E09115D"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Kā privātpersonu, tā arī pašvaldību izmaksas ir saistītas ar līdzfinansējuma konkursu ietvaros iesniegto projektu administrēšanu. Privātpersonu gadījumā tās ir nebūtiskas, jo projekta saturu pamatā veido projektēšanas ietvaros sagatavoti dokumenti, kuru sagatavošanas pienākums  izriet no būvniecību regulējošajiem normatīvajiem aktiem.</w:t>
            </w:r>
          </w:p>
          <w:p w14:paraId="0C959A6B" w14:textId="26EABE05" w:rsidR="00D865F3" w:rsidRPr="00E4791C" w:rsidRDefault="003A63EA" w:rsidP="00054249">
            <w:pPr>
              <w:ind w:firstLine="731"/>
              <w:jc w:val="both"/>
              <w:rPr>
                <w:rFonts w:ascii="Times New Roman" w:eastAsia="Times New Roman" w:hAnsi="Times New Roman" w:cs="Times New Roman"/>
                <w:b/>
                <w:bCs/>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Pašvaldības izmaksas ir atkarīgas no konkursa ietvaros iesniegto un pēc apstiprināšanas administrējamo projektu skaita.</w:t>
            </w:r>
          </w:p>
        </w:tc>
      </w:tr>
      <w:tr w:rsidR="00FA3FE4" w14:paraId="280F62ED" w14:textId="77777777" w:rsidTr="00FB4361">
        <w:tc>
          <w:tcPr>
            <w:tcW w:w="9247" w:type="dxa"/>
          </w:tcPr>
          <w:p w14:paraId="22CAF928" w14:textId="26C3EDDA" w:rsidR="007752F6" w:rsidRPr="00E4791C" w:rsidRDefault="003A63EA" w:rsidP="00CD5B22">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5. Ietekme uz pašvaldības funkcijām un cilvēkresursiem</w:t>
            </w:r>
          </w:p>
          <w:p w14:paraId="1985DC48" w14:textId="7B039CA0" w:rsidR="00D84762" w:rsidRPr="00FB6941" w:rsidRDefault="00D84955" w:rsidP="00054249">
            <w:pPr>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Grozāmie s</w:t>
            </w:r>
            <w:r w:rsidR="003A63EA" w:rsidRPr="00FB6941">
              <w:rPr>
                <w:rFonts w:ascii="Times New Roman" w:eastAsia="Times New Roman" w:hAnsi="Times New Roman" w:cs="Times New Roman"/>
                <w:color w:val="000000" w:themeColor="text1"/>
                <w:sz w:val="26"/>
                <w:szCs w:val="26"/>
                <w:lang w:eastAsia="lv-LV"/>
              </w:rPr>
              <w:t>aistošie noteikum</w:t>
            </w:r>
            <w:r>
              <w:rPr>
                <w:rFonts w:ascii="Times New Roman" w:eastAsia="Times New Roman" w:hAnsi="Times New Roman" w:cs="Times New Roman"/>
                <w:color w:val="000000" w:themeColor="text1"/>
                <w:sz w:val="26"/>
                <w:szCs w:val="26"/>
                <w:lang w:eastAsia="lv-LV"/>
              </w:rPr>
              <w:t>u</w:t>
            </w:r>
            <w:r w:rsidR="003A63EA" w:rsidRPr="00FB6941">
              <w:rPr>
                <w:rFonts w:ascii="Times New Roman" w:eastAsia="Times New Roman" w:hAnsi="Times New Roman" w:cs="Times New Roman"/>
                <w:color w:val="000000" w:themeColor="text1"/>
                <w:sz w:val="26"/>
                <w:szCs w:val="26"/>
                <w:lang w:eastAsia="lv-LV"/>
              </w:rPr>
              <w:t xml:space="preserve"> </w:t>
            </w:r>
            <w:r>
              <w:rPr>
                <w:rFonts w:ascii="Times New Roman" w:eastAsia="Times New Roman" w:hAnsi="Times New Roman" w:cs="Times New Roman"/>
                <w:color w:val="000000" w:themeColor="text1"/>
                <w:sz w:val="26"/>
                <w:szCs w:val="26"/>
                <w:lang w:eastAsia="lv-LV"/>
              </w:rPr>
              <w:t>mērķis</w:t>
            </w:r>
            <w:r w:rsidR="003A63EA" w:rsidRPr="00FB6941">
              <w:rPr>
                <w:rFonts w:ascii="Times New Roman" w:eastAsia="Times New Roman" w:hAnsi="Times New Roman" w:cs="Times New Roman"/>
                <w:color w:val="000000" w:themeColor="text1"/>
                <w:sz w:val="26"/>
                <w:szCs w:val="26"/>
                <w:lang w:eastAsia="lv-LV"/>
              </w:rPr>
              <w:t xml:space="preserve"> </w:t>
            </w:r>
            <w:r>
              <w:rPr>
                <w:rFonts w:ascii="Times New Roman" w:eastAsia="Times New Roman" w:hAnsi="Times New Roman" w:cs="Times New Roman"/>
                <w:color w:val="000000" w:themeColor="text1"/>
                <w:sz w:val="26"/>
                <w:szCs w:val="26"/>
                <w:lang w:eastAsia="lv-LV"/>
              </w:rPr>
              <w:t xml:space="preserve">ir nodrošināt </w:t>
            </w:r>
            <w:r w:rsidR="003A63EA" w:rsidRPr="00FB6941">
              <w:rPr>
                <w:rFonts w:ascii="Times New Roman" w:eastAsia="Times New Roman" w:hAnsi="Times New Roman" w:cs="Times New Roman"/>
                <w:color w:val="000000" w:themeColor="text1"/>
                <w:sz w:val="26"/>
                <w:szCs w:val="26"/>
                <w:lang w:eastAsia="lv-LV"/>
              </w:rPr>
              <w:t xml:space="preserve">Pašvaldību likuma 4. panta pirmās daļas </w:t>
            </w:r>
            <w:r w:rsidR="008E12A4">
              <w:rPr>
                <w:rFonts w:ascii="Times New Roman" w:eastAsia="Times New Roman" w:hAnsi="Times New Roman" w:cs="Times New Roman"/>
                <w:color w:val="000000" w:themeColor="text1"/>
                <w:sz w:val="26"/>
                <w:szCs w:val="26"/>
                <w:lang w:eastAsia="lv-LV"/>
              </w:rPr>
              <w:t>5</w:t>
            </w:r>
            <w:r w:rsidR="003A63EA" w:rsidRPr="00FB6941">
              <w:rPr>
                <w:rFonts w:ascii="Times New Roman" w:eastAsia="Times New Roman" w:hAnsi="Times New Roman" w:cs="Times New Roman"/>
                <w:color w:val="000000" w:themeColor="text1"/>
                <w:sz w:val="26"/>
                <w:szCs w:val="26"/>
                <w:lang w:eastAsia="lv-LV"/>
              </w:rPr>
              <w:t>. punktā minētās pašvaldības autonomās funkcijas izpildi.</w:t>
            </w:r>
          </w:p>
          <w:p w14:paraId="1D963F84" w14:textId="64DDC306" w:rsidR="00D865F3" w:rsidRPr="00E4791C" w:rsidRDefault="00D84955" w:rsidP="00054249">
            <w:pPr>
              <w:ind w:firstLine="731"/>
              <w:jc w:val="both"/>
              <w:rPr>
                <w:rFonts w:ascii="Times New Roman" w:eastAsia="Times New Roman" w:hAnsi="Times New Roman" w:cs="Times New Roman"/>
                <w:b/>
                <w:bCs/>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Saistošie noteikumi ievērojami samazinās birokrātiskās procedūras</w:t>
            </w:r>
            <w:r w:rsidR="004618AA">
              <w:rPr>
                <w:rFonts w:ascii="Times New Roman" w:eastAsia="Times New Roman" w:hAnsi="Times New Roman" w:cs="Times New Roman"/>
                <w:color w:val="000000" w:themeColor="text1"/>
                <w:sz w:val="26"/>
                <w:szCs w:val="26"/>
                <w:lang w:eastAsia="lv-LV"/>
              </w:rPr>
              <w:t xml:space="preserve"> un, līdz ar to, </w:t>
            </w:r>
            <w:r w:rsidR="002752AD">
              <w:rPr>
                <w:rFonts w:ascii="Times New Roman" w:eastAsia="Times New Roman" w:hAnsi="Times New Roman" w:cs="Times New Roman"/>
                <w:color w:val="000000" w:themeColor="text1"/>
                <w:sz w:val="26"/>
                <w:szCs w:val="26"/>
                <w:lang w:eastAsia="lv-LV"/>
              </w:rPr>
              <w:t>P</w:t>
            </w:r>
            <w:r w:rsidR="004618AA">
              <w:rPr>
                <w:rFonts w:ascii="Times New Roman" w:eastAsia="Times New Roman" w:hAnsi="Times New Roman" w:cs="Times New Roman"/>
                <w:color w:val="000000" w:themeColor="text1"/>
                <w:sz w:val="26"/>
                <w:szCs w:val="26"/>
                <w:lang w:eastAsia="lv-LV"/>
              </w:rPr>
              <w:t>ašvaldībai nebūs nepieciešams izveidot papildus štata vietas šo procedūru veikšanai.</w:t>
            </w:r>
          </w:p>
        </w:tc>
      </w:tr>
      <w:tr w:rsidR="00FA3FE4" w14:paraId="54A43D2F" w14:textId="77777777" w:rsidTr="00FB4361">
        <w:tc>
          <w:tcPr>
            <w:tcW w:w="9247" w:type="dxa"/>
          </w:tcPr>
          <w:p w14:paraId="2D2D120D" w14:textId="554D7259" w:rsidR="007752F6" w:rsidRPr="00E4791C" w:rsidRDefault="003A63EA" w:rsidP="00F10E25">
            <w:pPr>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6. Izpildes nodrošināšana</w:t>
            </w:r>
          </w:p>
          <w:p w14:paraId="255BFA76" w14:textId="6632818D" w:rsidR="00D865F3" w:rsidRPr="00E4791C" w:rsidRDefault="003A63EA" w:rsidP="00054249">
            <w:pPr>
              <w:ind w:firstLine="731"/>
              <w:rPr>
                <w:rFonts w:ascii="Times New Roman" w:eastAsia="Times New Roman" w:hAnsi="Times New Roman" w:cs="Times New Roman"/>
                <w:b/>
                <w:bCs/>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Saistošo noteikumu izpildi nodrošinās departaments un komisija.</w:t>
            </w:r>
          </w:p>
        </w:tc>
      </w:tr>
      <w:tr w:rsidR="00FA3FE4" w14:paraId="54C9558D" w14:textId="77777777" w:rsidTr="00FB4361">
        <w:tc>
          <w:tcPr>
            <w:tcW w:w="9247" w:type="dxa"/>
          </w:tcPr>
          <w:p w14:paraId="7BCC7547" w14:textId="17289A66" w:rsidR="007752F6" w:rsidRPr="00E4791C" w:rsidRDefault="003A63EA" w:rsidP="0044423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7. Prasību un izmaksu samērīgums pret ieguvumiem, ko sniedz mērķa sasniegšana</w:t>
            </w:r>
          </w:p>
          <w:p w14:paraId="67AC3710" w14:textId="6A475A7E" w:rsidR="00D865F3" w:rsidRPr="00E4791C" w:rsidRDefault="003A63EA" w:rsidP="00CD480C">
            <w:pPr>
              <w:ind w:firstLine="731"/>
              <w:jc w:val="both"/>
              <w:rPr>
                <w:rFonts w:ascii="Times New Roman" w:eastAsia="Times New Roman" w:hAnsi="Times New Roman" w:cs="Times New Roman"/>
                <w:b/>
                <w:bCs/>
                <w:color w:val="000000" w:themeColor="text1"/>
                <w:sz w:val="26"/>
                <w:szCs w:val="26"/>
                <w:lang w:eastAsia="lv-LV"/>
              </w:rPr>
            </w:pPr>
            <w:r w:rsidRPr="00FB6941">
              <w:rPr>
                <w:rFonts w:ascii="Times New Roman" w:hAnsi="Times New Roman" w:cs="Times New Roman"/>
                <w:sz w:val="26"/>
                <w:szCs w:val="26"/>
              </w:rPr>
              <w:t>Saistošajos noteikumos izvirzītās prasības atbilst augstāka juridiskā spēka normatīvajam aktam. Saistošie noteikumi neparedz papildu ierobežojumus privātpersonām, tādējādi nav nepieciešams veikt samērīguma pārbaudi.</w:t>
            </w:r>
          </w:p>
        </w:tc>
      </w:tr>
      <w:tr w:rsidR="00FA3FE4" w14:paraId="1996B93B" w14:textId="77777777" w:rsidTr="00FB4361">
        <w:tc>
          <w:tcPr>
            <w:tcW w:w="9247" w:type="dxa"/>
          </w:tcPr>
          <w:p w14:paraId="038C6057" w14:textId="0BB7FB46" w:rsidR="007752F6" w:rsidRPr="00E4791C" w:rsidRDefault="003A63EA" w:rsidP="0044423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8. Izstrādes gaitā veiktās konsultācijas ar privātpersonām un institūcijām, tostarp sabiedrības viedokļa noskaidrošanā gūtā informācija</w:t>
            </w:r>
          </w:p>
          <w:p w14:paraId="1A03A9D3" w14:textId="39E1A662" w:rsidR="00D865F3" w:rsidRPr="00E4791C" w:rsidRDefault="003A63EA" w:rsidP="00054249">
            <w:pPr>
              <w:ind w:firstLine="731"/>
              <w:jc w:val="both"/>
              <w:rPr>
                <w:rFonts w:ascii="Times New Roman" w:eastAsia="Times New Roman" w:hAnsi="Times New Roman" w:cs="Times New Roman"/>
                <w:b/>
                <w:bCs/>
                <w:color w:val="000000" w:themeColor="text1"/>
                <w:sz w:val="26"/>
                <w:szCs w:val="26"/>
                <w:lang w:eastAsia="lv-LV"/>
              </w:rPr>
            </w:pPr>
            <w:r w:rsidRPr="00A65BF0">
              <w:rPr>
                <w:rFonts w:ascii="Times New Roman" w:eastAsia="Times New Roman" w:hAnsi="Times New Roman" w:cs="Times New Roman"/>
                <w:color w:val="000000" w:themeColor="text1"/>
                <w:sz w:val="26"/>
                <w:szCs w:val="26"/>
                <w:lang w:eastAsia="lv-LV"/>
              </w:rPr>
              <w:t xml:space="preserve">Saistošo noteikumu projekts </w:t>
            </w:r>
            <w:r w:rsidR="00D84955">
              <w:rPr>
                <w:rFonts w:ascii="Times New Roman" w:eastAsia="Times New Roman" w:hAnsi="Times New Roman" w:cs="Times New Roman"/>
                <w:color w:val="000000" w:themeColor="text1"/>
                <w:sz w:val="26"/>
                <w:szCs w:val="26"/>
                <w:lang w:eastAsia="lv-LV"/>
              </w:rPr>
              <w:t>ir</w:t>
            </w:r>
            <w:r w:rsidRPr="00A65BF0">
              <w:rPr>
                <w:rFonts w:ascii="Times New Roman" w:eastAsia="Times New Roman" w:hAnsi="Times New Roman" w:cs="Times New Roman"/>
                <w:color w:val="000000" w:themeColor="text1"/>
                <w:sz w:val="26"/>
                <w:szCs w:val="26"/>
                <w:lang w:eastAsia="lv-LV"/>
              </w:rPr>
              <w:t xml:space="preserve"> nodots sabiedrības viedokļa noskaidrošanai pašvaldības</w:t>
            </w:r>
            <w:r w:rsidR="0077520C">
              <w:rPr>
                <w:rFonts w:ascii="Times New Roman" w:eastAsia="Times New Roman" w:hAnsi="Times New Roman" w:cs="Times New Roman"/>
                <w:color w:val="000000" w:themeColor="text1"/>
                <w:sz w:val="26"/>
                <w:szCs w:val="26"/>
                <w:lang w:eastAsia="lv-LV"/>
              </w:rPr>
              <w:t xml:space="preserve"> oficiālās</w:t>
            </w:r>
            <w:r w:rsidRPr="00A65BF0">
              <w:rPr>
                <w:rFonts w:ascii="Times New Roman" w:eastAsia="Times New Roman" w:hAnsi="Times New Roman" w:cs="Times New Roman"/>
                <w:color w:val="000000" w:themeColor="text1"/>
                <w:sz w:val="26"/>
                <w:szCs w:val="26"/>
                <w:lang w:eastAsia="lv-LV"/>
              </w:rPr>
              <w:t xml:space="preserve"> tīmekļvietnes sadaļā </w:t>
            </w:r>
            <w:hyperlink r:id="rId9" w:history="1">
              <w:r w:rsidRPr="004C4C58">
                <w:rPr>
                  <w:rStyle w:val="Hipersaite"/>
                  <w:rFonts w:ascii="Times New Roman" w:eastAsia="Times New Roman" w:hAnsi="Times New Roman" w:cs="Times New Roman"/>
                  <w:color w:val="auto"/>
                  <w:sz w:val="26"/>
                  <w:szCs w:val="26"/>
                  <w:u w:val="none"/>
                  <w:lang w:eastAsia="lv-LV"/>
                </w:rPr>
                <w:t>https://www.riga.lv/lv/saistoso-noteikumu-projekti</w:t>
              </w:r>
            </w:hyperlink>
            <w:r w:rsidRPr="00A65BF0">
              <w:rPr>
                <w:rFonts w:ascii="Times New Roman" w:eastAsia="Times New Roman" w:hAnsi="Times New Roman" w:cs="Times New Roman"/>
                <w:color w:val="000000" w:themeColor="text1"/>
                <w:sz w:val="26"/>
                <w:szCs w:val="26"/>
                <w:lang w:eastAsia="lv-LV"/>
              </w:rPr>
              <w:t>.</w:t>
            </w:r>
          </w:p>
        </w:tc>
      </w:tr>
    </w:tbl>
    <w:p w14:paraId="735095B8" w14:textId="1A671642" w:rsidR="007752F6" w:rsidRPr="00965DE1" w:rsidRDefault="007752F6" w:rsidP="00F10E25">
      <w:pPr>
        <w:spacing w:after="0" w:line="240" w:lineRule="auto"/>
        <w:rPr>
          <w:rFonts w:ascii="Times New Roman" w:hAnsi="Times New Roman" w:cs="Times New Roman"/>
          <w:sz w:val="26"/>
          <w:szCs w:val="26"/>
        </w:rPr>
      </w:pPr>
    </w:p>
    <w:p w14:paraId="6267B39B" w14:textId="77777777" w:rsidR="00FA3E04" w:rsidRPr="00965DE1" w:rsidRDefault="00FA3E04" w:rsidP="00F10E25">
      <w:pPr>
        <w:spacing w:after="0" w:line="240" w:lineRule="auto"/>
        <w:rPr>
          <w:rFonts w:ascii="Times New Roman" w:hAnsi="Times New Roman" w:cs="Times New Roman"/>
          <w:sz w:val="26"/>
          <w:szCs w:val="26"/>
        </w:rPr>
      </w:pPr>
    </w:p>
    <w:sectPr w:rsidR="00FA3E04" w:rsidRPr="00965DE1" w:rsidSect="00054249">
      <w:headerReference w:type="default" r:id="rId10"/>
      <w:pgSz w:w="11906" w:h="16838"/>
      <w:pgMar w:top="1134" w:right="567"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36FA7" w14:textId="77777777" w:rsidR="00D267D8" w:rsidRDefault="003A63EA">
      <w:pPr>
        <w:spacing w:after="0" w:line="240" w:lineRule="auto"/>
      </w:pPr>
      <w:r>
        <w:separator/>
      </w:r>
    </w:p>
  </w:endnote>
  <w:endnote w:type="continuationSeparator" w:id="0">
    <w:p w14:paraId="35E48347" w14:textId="77777777" w:rsidR="00D267D8" w:rsidRDefault="003A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C39E8" w14:textId="77777777" w:rsidR="00D267D8" w:rsidRDefault="003A63EA">
      <w:pPr>
        <w:spacing w:after="0" w:line="240" w:lineRule="auto"/>
      </w:pPr>
      <w:r>
        <w:separator/>
      </w:r>
    </w:p>
  </w:footnote>
  <w:footnote w:type="continuationSeparator" w:id="0">
    <w:p w14:paraId="652DAFD9" w14:textId="77777777" w:rsidR="00D267D8" w:rsidRDefault="003A6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561902"/>
      <w:docPartObj>
        <w:docPartGallery w:val="Page Numbers (Top of Page)"/>
        <w:docPartUnique/>
      </w:docPartObj>
    </w:sdtPr>
    <w:sdtEndPr>
      <w:rPr>
        <w:rFonts w:ascii="Times New Roman" w:hAnsi="Times New Roman" w:cs="Times New Roman"/>
        <w:sz w:val="24"/>
        <w:szCs w:val="24"/>
      </w:rPr>
    </w:sdtEndPr>
    <w:sdtContent>
      <w:p w14:paraId="226AE090" w14:textId="1E0A98AC" w:rsidR="00464AA1" w:rsidRPr="008861A3" w:rsidRDefault="003A63EA">
        <w:pPr>
          <w:pStyle w:val="Galvene"/>
          <w:jc w:val="center"/>
          <w:rPr>
            <w:rFonts w:ascii="Times New Roman" w:hAnsi="Times New Roman" w:cs="Times New Roman"/>
            <w:sz w:val="24"/>
            <w:szCs w:val="24"/>
          </w:rPr>
        </w:pPr>
        <w:r w:rsidRPr="008861A3">
          <w:rPr>
            <w:rFonts w:ascii="Times New Roman" w:hAnsi="Times New Roman" w:cs="Times New Roman"/>
            <w:sz w:val="24"/>
            <w:szCs w:val="24"/>
          </w:rPr>
          <w:fldChar w:fldCharType="begin"/>
        </w:r>
        <w:r w:rsidRPr="008861A3">
          <w:rPr>
            <w:rFonts w:ascii="Times New Roman" w:hAnsi="Times New Roman" w:cs="Times New Roman"/>
            <w:sz w:val="24"/>
            <w:szCs w:val="24"/>
          </w:rPr>
          <w:instrText>PAGE   \* MERGEFORMAT</w:instrText>
        </w:r>
        <w:r w:rsidRPr="008861A3">
          <w:rPr>
            <w:rFonts w:ascii="Times New Roman" w:hAnsi="Times New Roman" w:cs="Times New Roman"/>
            <w:sz w:val="24"/>
            <w:szCs w:val="24"/>
          </w:rPr>
          <w:fldChar w:fldCharType="separate"/>
        </w:r>
        <w:r w:rsidRPr="008861A3">
          <w:rPr>
            <w:rFonts w:ascii="Times New Roman" w:hAnsi="Times New Roman" w:cs="Times New Roman"/>
            <w:sz w:val="24"/>
            <w:szCs w:val="24"/>
          </w:rPr>
          <w:t>2</w:t>
        </w:r>
        <w:r w:rsidRPr="008861A3">
          <w:rPr>
            <w:rFonts w:ascii="Times New Roman" w:hAnsi="Times New Roman" w:cs="Times New Roman"/>
            <w:sz w:val="24"/>
            <w:szCs w:val="24"/>
          </w:rPr>
          <w:fldChar w:fldCharType="end"/>
        </w:r>
      </w:p>
    </w:sdtContent>
  </w:sdt>
  <w:p w14:paraId="18EF6D0A" w14:textId="77777777" w:rsidR="00464AA1" w:rsidRDefault="00464A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94DC4"/>
    <w:multiLevelType w:val="hybridMultilevel"/>
    <w:tmpl w:val="0FA0DB38"/>
    <w:lvl w:ilvl="0" w:tplc="FCCCCCE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04C7F2C"/>
    <w:multiLevelType w:val="hybridMultilevel"/>
    <w:tmpl w:val="10E0C2A8"/>
    <w:lvl w:ilvl="0" w:tplc="EA88E3D8">
      <w:start w:val="1"/>
      <w:numFmt w:val="decimal"/>
      <w:lvlText w:val="%1."/>
      <w:lvlJc w:val="left"/>
      <w:pPr>
        <w:ind w:left="720" w:hanging="360"/>
      </w:pPr>
    </w:lvl>
    <w:lvl w:ilvl="1" w:tplc="9BF8FD64">
      <w:start w:val="1"/>
      <w:numFmt w:val="lowerLetter"/>
      <w:lvlText w:val="%2."/>
      <w:lvlJc w:val="left"/>
      <w:pPr>
        <w:ind w:left="1440" w:hanging="360"/>
      </w:pPr>
    </w:lvl>
    <w:lvl w:ilvl="2" w:tplc="7DD283BC" w:tentative="1">
      <w:start w:val="1"/>
      <w:numFmt w:val="lowerRoman"/>
      <w:lvlText w:val="%3."/>
      <w:lvlJc w:val="right"/>
      <w:pPr>
        <w:ind w:left="2160" w:hanging="180"/>
      </w:pPr>
    </w:lvl>
    <w:lvl w:ilvl="3" w:tplc="4F06FC0C" w:tentative="1">
      <w:start w:val="1"/>
      <w:numFmt w:val="decimal"/>
      <w:lvlText w:val="%4."/>
      <w:lvlJc w:val="left"/>
      <w:pPr>
        <w:ind w:left="2880" w:hanging="360"/>
      </w:pPr>
    </w:lvl>
    <w:lvl w:ilvl="4" w:tplc="F3E2B1BE" w:tentative="1">
      <w:start w:val="1"/>
      <w:numFmt w:val="lowerLetter"/>
      <w:lvlText w:val="%5."/>
      <w:lvlJc w:val="left"/>
      <w:pPr>
        <w:ind w:left="3600" w:hanging="360"/>
      </w:pPr>
    </w:lvl>
    <w:lvl w:ilvl="5" w:tplc="55DEBB32" w:tentative="1">
      <w:start w:val="1"/>
      <w:numFmt w:val="lowerRoman"/>
      <w:lvlText w:val="%6."/>
      <w:lvlJc w:val="right"/>
      <w:pPr>
        <w:ind w:left="4320" w:hanging="180"/>
      </w:pPr>
    </w:lvl>
    <w:lvl w:ilvl="6" w:tplc="ECB8D960" w:tentative="1">
      <w:start w:val="1"/>
      <w:numFmt w:val="decimal"/>
      <w:lvlText w:val="%7."/>
      <w:lvlJc w:val="left"/>
      <w:pPr>
        <w:ind w:left="5040" w:hanging="360"/>
      </w:pPr>
    </w:lvl>
    <w:lvl w:ilvl="7" w:tplc="ECFACC9C" w:tentative="1">
      <w:start w:val="1"/>
      <w:numFmt w:val="lowerLetter"/>
      <w:lvlText w:val="%8."/>
      <w:lvlJc w:val="left"/>
      <w:pPr>
        <w:ind w:left="5760" w:hanging="360"/>
      </w:pPr>
    </w:lvl>
    <w:lvl w:ilvl="8" w:tplc="0674C894" w:tentative="1">
      <w:start w:val="1"/>
      <w:numFmt w:val="lowerRoman"/>
      <w:lvlText w:val="%9."/>
      <w:lvlJc w:val="right"/>
      <w:pPr>
        <w:ind w:left="6480" w:hanging="180"/>
      </w:pPr>
    </w:lvl>
  </w:abstractNum>
  <w:abstractNum w:abstractNumId="2" w15:restartNumberingAfterBreak="0">
    <w:nsid w:val="7E5A0C1E"/>
    <w:multiLevelType w:val="hybridMultilevel"/>
    <w:tmpl w:val="20B2CA22"/>
    <w:lvl w:ilvl="0" w:tplc="BB60E336">
      <w:start w:val="1"/>
      <w:numFmt w:val="decimal"/>
      <w:lvlText w:val="%1."/>
      <w:lvlJc w:val="left"/>
      <w:pPr>
        <w:ind w:left="720" w:hanging="360"/>
      </w:pPr>
      <w:rPr>
        <w:rFonts w:hint="default"/>
      </w:rPr>
    </w:lvl>
    <w:lvl w:ilvl="1" w:tplc="1840B058" w:tentative="1">
      <w:start w:val="1"/>
      <w:numFmt w:val="lowerLetter"/>
      <w:lvlText w:val="%2."/>
      <w:lvlJc w:val="left"/>
      <w:pPr>
        <w:ind w:left="1440" w:hanging="360"/>
      </w:pPr>
    </w:lvl>
    <w:lvl w:ilvl="2" w:tplc="9D5C709E" w:tentative="1">
      <w:start w:val="1"/>
      <w:numFmt w:val="lowerRoman"/>
      <w:lvlText w:val="%3."/>
      <w:lvlJc w:val="right"/>
      <w:pPr>
        <w:ind w:left="2160" w:hanging="180"/>
      </w:pPr>
    </w:lvl>
    <w:lvl w:ilvl="3" w:tplc="C8588218" w:tentative="1">
      <w:start w:val="1"/>
      <w:numFmt w:val="decimal"/>
      <w:lvlText w:val="%4."/>
      <w:lvlJc w:val="left"/>
      <w:pPr>
        <w:ind w:left="2880" w:hanging="360"/>
      </w:pPr>
    </w:lvl>
    <w:lvl w:ilvl="4" w:tplc="685E4A7C" w:tentative="1">
      <w:start w:val="1"/>
      <w:numFmt w:val="lowerLetter"/>
      <w:lvlText w:val="%5."/>
      <w:lvlJc w:val="left"/>
      <w:pPr>
        <w:ind w:left="3600" w:hanging="360"/>
      </w:pPr>
    </w:lvl>
    <w:lvl w:ilvl="5" w:tplc="0128C0B2" w:tentative="1">
      <w:start w:val="1"/>
      <w:numFmt w:val="lowerRoman"/>
      <w:lvlText w:val="%6."/>
      <w:lvlJc w:val="right"/>
      <w:pPr>
        <w:ind w:left="4320" w:hanging="180"/>
      </w:pPr>
    </w:lvl>
    <w:lvl w:ilvl="6" w:tplc="069CE8E6" w:tentative="1">
      <w:start w:val="1"/>
      <w:numFmt w:val="decimal"/>
      <w:lvlText w:val="%7."/>
      <w:lvlJc w:val="left"/>
      <w:pPr>
        <w:ind w:left="5040" w:hanging="360"/>
      </w:pPr>
    </w:lvl>
    <w:lvl w:ilvl="7" w:tplc="7BE446D8" w:tentative="1">
      <w:start w:val="1"/>
      <w:numFmt w:val="lowerLetter"/>
      <w:lvlText w:val="%8."/>
      <w:lvlJc w:val="left"/>
      <w:pPr>
        <w:ind w:left="5760" w:hanging="360"/>
      </w:pPr>
    </w:lvl>
    <w:lvl w:ilvl="8" w:tplc="35A69FB8" w:tentative="1">
      <w:start w:val="1"/>
      <w:numFmt w:val="lowerRoman"/>
      <w:lvlText w:val="%9."/>
      <w:lvlJc w:val="right"/>
      <w:pPr>
        <w:ind w:left="6480" w:hanging="180"/>
      </w:pPr>
    </w:lvl>
  </w:abstractNum>
  <w:num w:numId="1" w16cid:durableId="1581334406">
    <w:abstractNumId w:val="2"/>
  </w:num>
  <w:num w:numId="2" w16cid:durableId="487987216">
    <w:abstractNumId w:val="1"/>
  </w:num>
  <w:num w:numId="3" w16cid:durableId="200076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6"/>
    <w:rsid w:val="00054249"/>
    <w:rsid w:val="000A4A81"/>
    <w:rsid w:val="000B1382"/>
    <w:rsid w:val="00103F6F"/>
    <w:rsid w:val="001823B3"/>
    <w:rsid w:val="001A4A24"/>
    <w:rsid w:val="00254ABB"/>
    <w:rsid w:val="00271D86"/>
    <w:rsid w:val="002752AD"/>
    <w:rsid w:val="00282647"/>
    <w:rsid w:val="00291CD9"/>
    <w:rsid w:val="002F56BC"/>
    <w:rsid w:val="00300943"/>
    <w:rsid w:val="00302501"/>
    <w:rsid w:val="0035423F"/>
    <w:rsid w:val="003A63EA"/>
    <w:rsid w:val="003B4200"/>
    <w:rsid w:val="003D1D7D"/>
    <w:rsid w:val="003F23B2"/>
    <w:rsid w:val="00444237"/>
    <w:rsid w:val="004618AA"/>
    <w:rsid w:val="004619C4"/>
    <w:rsid w:val="00462897"/>
    <w:rsid w:val="00464AA1"/>
    <w:rsid w:val="004701C5"/>
    <w:rsid w:val="004B08A1"/>
    <w:rsid w:val="004C132C"/>
    <w:rsid w:val="004C4032"/>
    <w:rsid w:val="004C4C58"/>
    <w:rsid w:val="004E17DC"/>
    <w:rsid w:val="004E403B"/>
    <w:rsid w:val="004E582F"/>
    <w:rsid w:val="00641B27"/>
    <w:rsid w:val="00646E08"/>
    <w:rsid w:val="00687EA3"/>
    <w:rsid w:val="00726861"/>
    <w:rsid w:val="00751899"/>
    <w:rsid w:val="00773A2C"/>
    <w:rsid w:val="0077520C"/>
    <w:rsid w:val="007752F6"/>
    <w:rsid w:val="0078751D"/>
    <w:rsid w:val="00825EB0"/>
    <w:rsid w:val="008861A3"/>
    <w:rsid w:val="00887BC6"/>
    <w:rsid w:val="008A6805"/>
    <w:rsid w:val="008C5041"/>
    <w:rsid w:val="008E12A4"/>
    <w:rsid w:val="00906C47"/>
    <w:rsid w:val="00965DE1"/>
    <w:rsid w:val="00973236"/>
    <w:rsid w:val="009C1D24"/>
    <w:rsid w:val="009C4C5E"/>
    <w:rsid w:val="009D76E9"/>
    <w:rsid w:val="00A65BF0"/>
    <w:rsid w:val="00AC6688"/>
    <w:rsid w:val="00B41290"/>
    <w:rsid w:val="00B46AAD"/>
    <w:rsid w:val="00B60015"/>
    <w:rsid w:val="00B747CE"/>
    <w:rsid w:val="00B9511D"/>
    <w:rsid w:val="00BB7D92"/>
    <w:rsid w:val="00BC2A30"/>
    <w:rsid w:val="00C96D5D"/>
    <w:rsid w:val="00CC7B57"/>
    <w:rsid w:val="00CD480C"/>
    <w:rsid w:val="00CD5B22"/>
    <w:rsid w:val="00CE2FBD"/>
    <w:rsid w:val="00D0024C"/>
    <w:rsid w:val="00D254F4"/>
    <w:rsid w:val="00D267D8"/>
    <w:rsid w:val="00D453E7"/>
    <w:rsid w:val="00D800F7"/>
    <w:rsid w:val="00D84762"/>
    <w:rsid w:val="00D84955"/>
    <w:rsid w:val="00D865F3"/>
    <w:rsid w:val="00DD5E45"/>
    <w:rsid w:val="00E207A5"/>
    <w:rsid w:val="00E4791C"/>
    <w:rsid w:val="00E77575"/>
    <w:rsid w:val="00F10E25"/>
    <w:rsid w:val="00F168FE"/>
    <w:rsid w:val="00FA3E04"/>
    <w:rsid w:val="00FA3FE4"/>
    <w:rsid w:val="00FB4196"/>
    <w:rsid w:val="00FB6941"/>
    <w:rsid w:val="00FE6768"/>
    <w:rsid w:val="00FF6F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D424"/>
  <w15:chartTrackingRefBased/>
  <w15:docId w15:val="{8B911C2C-1C3A-4583-8FE6-C7FC992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2F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7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752F6"/>
    <w:pPr>
      <w:ind w:left="720"/>
      <w:contextualSpacing/>
    </w:pPr>
  </w:style>
  <w:style w:type="paragraph" w:styleId="Galvene">
    <w:name w:val="header"/>
    <w:basedOn w:val="Parasts"/>
    <w:link w:val="GalveneRakstz"/>
    <w:uiPriority w:val="99"/>
    <w:unhideWhenUsed/>
    <w:rsid w:val="00464AA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4AA1"/>
  </w:style>
  <w:style w:type="paragraph" w:styleId="Kjene">
    <w:name w:val="footer"/>
    <w:basedOn w:val="Parasts"/>
    <w:link w:val="KjeneRakstz"/>
    <w:uiPriority w:val="99"/>
    <w:unhideWhenUsed/>
    <w:rsid w:val="00464A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4AA1"/>
  </w:style>
  <w:style w:type="character" w:styleId="Hipersaite">
    <w:name w:val="Hyperlink"/>
    <w:basedOn w:val="Noklusjumarindkopasfonts"/>
    <w:uiPriority w:val="99"/>
    <w:unhideWhenUsed/>
    <w:rsid w:val="00D84762"/>
    <w:rPr>
      <w:color w:val="0563C1" w:themeColor="hyperlink"/>
      <w:u w:val="single"/>
    </w:rPr>
  </w:style>
  <w:style w:type="paragraph" w:styleId="Prskatjums">
    <w:name w:val="Revision"/>
    <w:hidden/>
    <w:uiPriority w:val="99"/>
    <w:semiHidden/>
    <w:rsid w:val="00D800F7"/>
    <w:pPr>
      <w:spacing w:after="0" w:line="240" w:lineRule="auto"/>
    </w:pPr>
  </w:style>
  <w:style w:type="character" w:styleId="Neatrisintapieminana">
    <w:name w:val="Unresolved Mention"/>
    <w:basedOn w:val="Noklusjumarindkopasfonts"/>
    <w:uiPriority w:val="99"/>
    <w:semiHidden/>
    <w:unhideWhenUsed/>
    <w:rsid w:val="008A6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4/SaeimaLIVS14.nsf/webSasaiste?OpenView&amp;restricttocategory=870/Lp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ga.lv/lv/saistoso-noteikumu-projekt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C100-655C-4322-A820-C687A8D7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6082</Words>
  <Characters>3468</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Reinika</dc:creator>
  <cp:lastModifiedBy>Kirils Mihejevs</cp:lastModifiedBy>
  <cp:revision>4</cp:revision>
  <dcterms:created xsi:type="dcterms:W3CDTF">2025-09-14T21:07:00Z</dcterms:created>
  <dcterms:modified xsi:type="dcterms:W3CDTF">2025-09-14T21:40:00Z</dcterms:modified>
</cp:coreProperties>
</file>