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F818" w14:textId="77777777" w:rsidR="007752F6" w:rsidRPr="00F04A74" w:rsidRDefault="007752F6" w:rsidP="00F10E25">
      <w:pPr>
        <w:shd w:val="clear" w:color="auto" w:fill="FFFFFF"/>
        <w:spacing w:after="0" w:line="240" w:lineRule="auto"/>
        <w:jc w:val="center"/>
        <w:rPr>
          <w:rFonts w:ascii="Times New Roman" w:eastAsia="Times New Roman" w:hAnsi="Times New Roman" w:cs="Times New Roman"/>
          <w:color w:val="535353"/>
          <w:sz w:val="26"/>
          <w:szCs w:val="26"/>
          <w:lang w:eastAsia="lv-LV"/>
        </w:rPr>
      </w:pPr>
    </w:p>
    <w:p w14:paraId="687001B8" w14:textId="77777777" w:rsidR="00965DE1" w:rsidRPr="00965DE1" w:rsidRDefault="00AF5E76" w:rsidP="00965DE1">
      <w:pPr>
        <w:jc w:val="center"/>
        <w:rPr>
          <w:rFonts w:ascii="Times New Roman" w:hAnsi="Times New Roman" w:cs="Times New Roman"/>
          <w:b/>
          <w:noProof/>
          <w:sz w:val="26"/>
          <w:szCs w:val="26"/>
        </w:rPr>
      </w:pPr>
      <w:r w:rsidRPr="00965DE1">
        <w:rPr>
          <w:rFonts w:ascii="Times New Roman" w:hAnsi="Times New Roman" w:cs="Times New Roman"/>
          <w:b/>
          <w:noProof/>
          <w:sz w:val="26"/>
          <w:szCs w:val="26"/>
        </w:rPr>
        <w:t xml:space="preserve">Paskaidrojuma raksts </w:t>
      </w:r>
    </w:p>
    <w:p w14:paraId="6DFB51A6" w14:textId="11DFA795" w:rsidR="00965DE1" w:rsidRDefault="00AF5E76" w:rsidP="00965DE1">
      <w:pPr>
        <w:jc w:val="center"/>
        <w:rPr>
          <w:rFonts w:ascii="Times New Roman" w:hAnsi="Times New Roman" w:cs="Times New Roman"/>
          <w:b/>
          <w:bCs/>
          <w:noProof/>
          <w:sz w:val="26"/>
          <w:szCs w:val="26"/>
        </w:rPr>
      </w:pPr>
      <w:r w:rsidRPr="00965DE1">
        <w:rPr>
          <w:rFonts w:ascii="Times New Roman" w:hAnsi="Times New Roman" w:cs="Times New Roman"/>
          <w:b/>
          <w:bCs/>
          <w:noProof/>
          <w:sz w:val="26"/>
          <w:szCs w:val="26"/>
        </w:rPr>
        <w:t>Rīgas domes #SEDES_NORISES_DATUMS_V_L# saistošajiem noteikumiem Nr. #LEMUMA_NUMURS#</w:t>
      </w:r>
    </w:p>
    <w:p w14:paraId="18ABAC07" w14:textId="77777777" w:rsidR="00CC4BA3" w:rsidRPr="00CC4BA3" w:rsidRDefault="00AF5E76" w:rsidP="00CC4BA3">
      <w:pPr>
        <w:jc w:val="center"/>
        <w:rPr>
          <w:rFonts w:ascii="Times New Roman" w:eastAsia="Aptos" w:hAnsi="Times New Roman" w:cs="Times New Roman"/>
          <w:b/>
          <w:bCs/>
          <w:kern w:val="2"/>
          <w:sz w:val="26"/>
          <w14:ligatures w14:val="standardContextual"/>
        </w:rPr>
      </w:pPr>
      <w:r>
        <w:rPr>
          <w:rFonts w:ascii="Times New Roman" w:hAnsi="Times New Roman" w:cs="Times New Roman"/>
          <w:b/>
          <w:bCs/>
          <w:noProof/>
          <w:sz w:val="26"/>
          <w:szCs w:val="26"/>
        </w:rPr>
        <w:t>“</w:t>
      </w:r>
      <w:r w:rsidRPr="00CC4BA3">
        <w:rPr>
          <w:rFonts w:ascii="Times New Roman" w:eastAsia="Aptos" w:hAnsi="Times New Roman" w:cs="Times New Roman"/>
          <w:b/>
          <w:bCs/>
          <w:kern w:val="2"/>
          <w:sz w:val="26"/>
          <w14:ligatures w14:val="standardContextual"/>
        </w:rPr>
        <w:t xml:space="preserve">Grozījumi Rīgas domes 2024. gada 28. jūnija saistošajos noteikumos Nr. RD-24-286-sn “Par kārtību, kādā tiek saskaņota un organizēta ielu </w:t>
      </w:r>
      <w:r w:rsidRPr="00CC4BA3">
        <w:rPr>
          <w:rFonts w:ascii="Times New Roman" w:eastAsia="Aptos" w:hAnsi="Times New Roman" w:cs="Times New Roman"/>
          <w:b/>
          <w:bCs/>
          <w:kern w:val="2"/>
          <w:sz w:val="26"/>
          <w14:ligatures w14:val="standardContextual"/>
        </w:rPr>
        <w:t>tirdzniecība”</w:t>
      </w:r>
    </w:p>
    <w:p w14:paraId="4442B796" w14:textId="77777777" w:rsidR="00464AA1" w:rsidRPr="00965DE1" w:rsidRDefault="00464AA1" w:rsidP="00F10E25">
      <w:pPr>
        <w:shd w:val="clear" w:color="auto" w:fill="FFFFFF"/>
        <w:spacing w:after="0" w:line="240" w:lineRule="auto"/>
        <w:jc w:val="center"/>
        <w:rPr>
          <w:rFonts w:ascii="Times New Roman" w:eastAsia="Times New Roman" w:hAnsi="Times New Roman" w:cs="Times New Roman"/>
          <w:b/>
          <w:bCs/>
          <w:color w:val="535353"/>
          <w:sz w:val="26"/>
          <w:szCs w:val="26"/>
          <w:lang w:eastAsia="lv-LV"/>
        </w:rPr>
      </w:pPr>
    </w:p>
    <w:tbl>
      <w:tblPr>
        <w:tblStyle w:val="Reatabula"/>
        <w:tblW w:w="0" w:type="auto"/>
        <w:tblLook w:val="04A0" w:firstRow="1" w:lastRow="0" w:firstColumn="1" w:lastColumn="0" w:noHBand="0" w:noVBand="1"/>
      </w:tblPr>
      <w:tblGrid>
        <w:gridCol w:w="9247"/>
      </w:tblGrid>
      <w:tr w:rsidR="007D3E66" w14:paraId="321D0289" w14:textId="77777777" w:rsidTr="00CD5B22">
        <w:trPr>
          <w:trHeight w:val="654"/>
        </w:trPr>
        <w:tc>
          <w:tcPr>
            <w:tcW w:w="9247" w:type="dxa"/>
            <w:shd w:val="clear" w:color="auto" w:fill="auto"/>
          </w:tcPr>
          <w:p w14:paraId="4049E7E4" w14:textId="3DB28C1F" w:rsidR="007752F6" w:rsidRPr="00E4791C" w:rsidRDefault="00AF5E76"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1. Mērķi un nepieciešamības pamatojums, tostarp raksturojot iespējamās alternatīvas, kas neparedz tiesiskā regulējuma izstrādi</w:t>
            </w:r>
          </w:p>
          <w:p w14:paraId="2D667C64" w14:textId="077A673D" w:rsidR="001F3C4F" w:rsidRPr="001F3C4F" w:rsidRDefault="00AF5E76" w:rsidP="001F3C4F">
            <w:pPr>
              <w:ind w:firstLine="731"/>
              <w:jc w:val="both"/>
              <w:rPr>
                <w:rFonts w:ascii="Times New Roman" w:eastAsia="Times New Roman" w:hAnsi="Times New Roman" w:cs="Times New Roman"/>
                <w:noProof/>
                <w:sz w:val="26"/>
                <w:szCs w:val="26"/>
                <w:lang w:eastAsia="lv-LV"/>
              </w:rPr>
            </w:pPr>
            <w:r w:rsidRPr="001F3C4F">
              <w:rPr>
                <w:rFonts w:ascii="Times New Roman" w:eastAsia="Times New Roman" w:hAnsi="Times New Roman" w:cs="Times New Roman"/>
                <w:noProof/>
                <w:sz w:val="26"/>
                <w:szCs w:val="26"/>
                <w:lang w:eastAsia="lv-LV"/>
              </w:rPr>
              <w:t xml:space="preserve">Saistošo noteikumu (turpmāk – Noteikumi) izdošanas mērķis ir </w:t>
            </w:r>
            <w:r w:rsidRPr="001F3C4F">
              <w:rPr>
                <w:rFonts w:ascii="Times New Roman" w:eastAsia="Times New Roman" w:hAnsi="Times New Roman" w:cs="Times New Roman"/>
                <w:noProof/>
                <w:sz w:val="26"/>
                <w:szCs w:val="26"/>
                <w:lang w:eastAsia="lv-LV"/>
              </w:rPr>
              <w:t xml:space="preserve">veikt grozījumus </w:t>
            </w:r>
            <w:r w:rsidRPr="001F3C4F">
              <w:rPr>
                <w:rFonts w:ascii="Times New Roman" w:eastAsia="Aptos" w:hAnsi="Times New Roman" w:cs="Times New Roman"/>
                <w:kern w:val="2"/>
                <w:sz w:val="26"/>
                <w14:ligatures w14:val="standardContextual"/>
              </w:rPr>
              <w:t>Rīgas domes 2024. gada 28. jūnija saistošajos noteikumos Nr. RD-24-286-sn “Par kārtību, kādā tiek saskaņota un organizēta ielu tirdzniecība”</w:t>
            </w:r>
            <w:r w:rsidRPr="001F3C4F">
              <w:rPr>
                <w:rFonts w:ascii="Times New Roman" w:eastAsia="Times New Roman" w:hAnsi="Times New Roman" w:cs="Times New Roman"/>
                <w:color w:val="000000"/>
                <w:sz w:val="26"/>
                <w:szCs w:val="26"/>
                <w:lang w:eastAsia="lv-LV"/>
              </w:rPr>
              <w:t xml:space="preserve"> </w:t>
            </w:r>
            <w:r w:rsidRPr="001F3C4F">
              <w:rPr>
                <w:rFonts w:ascii="Times New Roman" w:eastAsia="Times New Roman" w:hAnsi="Times New Roman" w:cs="Times New Roman"/>
                <w:noProof/>
                <w:sz w:val="26"/>
                <w:szCs w:val="26"/>
                <w:lang w:eastAsia="lv-LV"/>
              </w:rPr>
              <w:t xml:space="preserve">(turpmāk – </w:t>
            </w:r>
            <w:r w:rsidRPr="001F3C4F">
              <w:rPr>
                <w:rFonts w:ascii="Times New Roman" w:eastAsia="Times New Roman" w:hAnsi="Times New Roman" w:cs="Times New Roman"/>
                <w:color w:val="000000"/>
                <w:sz w:val="26"/>
                <w:szCs w:val="26"/>
                <w:lang w:eastAsia="lv-LV"/>
              </w:rPr>
              <w:t>Saistošo noteikumi Nr. RD-24-286-sn</w:t>
            </w:r>
            <w:r w:rsidRPr="001F3C4F">
              <w:rPr>
                <w:rFonts w:ascii="Times New Roman" w:eastAsia="Times New Roman" w:hAnsi="Times New Roman" w:cs="Times New Roman"/>
                <w:noProof/>
                <w:sz w:val="26"/>
                <w:szCs w:val="26"/>
                <w:lang w:eastAsia="lv-LV"/>
              </w:rPr>
              <w:t xml:space="preserve">), </w:t>
            </w:r>
            <w:r w:rsidRPr="001F3C4F">
              <w:rPr>
                <w:rFonts w:ascii="Times New Roman" w:eastAsia="Times New Roman" w:hAnsi="Times New Roman" w:cs="Times New Roman"/>
                <w:color w:val="000000"/>
                <w:sz w:val="26"/>
                <w:szCs w:val="26"/>
                <w:lang w:eastAsia="lv-LV"/>
              </w:rPr>
              <w:t xml:space="preserve">ņemot vērā tirdzniecības dalībnieku izteiktos ierosinājumus, </w:t>
            </w:r>
            <w:r w:rsidRPr="001F3C4F">
              <w:rPr>
                <w:rFonts w:ascii="Times New Roman" w:eastAsia="Times New Roman" w:hAnsi="Times New Roman" w:cs="Times New Roman"/>
                <w:noProof/>
                <w:sz w:val="26"/>
                <w:szCs w:val="26"/>
                <w:lang w:eastAsia="lv-LV"/>
              </w:rPr>
              <w:t xml:space="preserve">mainot saskaņošanas kārtību šādiem ielu tirdzniecības veidiem: </w:t>
            </w:r>
          </w:p>
          <w:p w14:paraId="4FBEC458" w14:textId="77777777" w:rsidR="001F3C4F" w:rsidRPr="001F3C4F" w:rsidRDefault="00AF5E76" w:rsidP="001F3C4F">
            <w:pPr>
              <w:shd w:val="clear" w:color="auto" w:fill="FFFFFF"/>
              <w:ind w:firstLine="731"/>
              <w:jc w:val="both"/>
              <w:rPr>
                <w:rFonts w:ascii="Times New Roman" w:eastAsia="Times New Roman" w:hAnsi="Times New Roman" w:cs="Times New Roman"/>
                <w:noProof/>
                <w:color w:val="000000"/>
                <w:sz w:val="26"/>
                <w:szCs w:val="26"/>
              </w:rPr>
            </w:pPr>
            <w:r w:rsidRPr="001F3C4F">
              <w:rPr>
                <w:rFonts w:ascii="Times New Roman" w:eastAsia="Times New Roman" w:hAnsi="Times New Roman" w:cs="Times New Roman"/>
                <w:b/>
                <w:bCs/>
                <w:noProof/>
                <w:color w:val="000000"/>
                <w:sz w:val="26"/>
                <w:szCs w:val="26"/>
              </w:rPr>
              <w:t>Reģistrētā ielu tirdzniecība</w:t>
            </w:r>
            <w:r w:rsidRPr="001F3C4F">
              <w:rPr>
                <w:rFonts w:ascii="Times New Roman" w:eastAsia="Times New Roman" w:hAnsi="Times New Roman" w:cs="Times New Roman"/>
                <w:noProof/>
                <w:color w:val="000000"/>
                <w:sz w:val="26"/>
                <w:szCs w:val="26"/>
              </w:rPr>
              <w:t xml:space="preserve"> - lai mazinātu negodīgu konkurenci pašvaldības iekārtotās ielu tirdzniecības vietās, tiek veiktas korekcijas iepriekš noteiktajos nosacījumos – viena tirdzniecības atļauja tiek izsniegta uz laika periodu, kas nepārsniedz 3 mēnešus neatkarīgi no tā vai </w:t>
            </w:r>
            <w:r w:rsidRPr="001F3C4F">
              <w:rPr>
                <w:rFonts w:ascii="Times New Roman" w:eastAsia="Times New Roman" w:hAnsi="Times New Roman" w:cs="Times New Roman"/>
                <w:sz w:val="26"/>
                <w:szCs w:val="26"/>
              </w:rPr>
              <w:t>tirdzniecība plānota atsevišķās mēneša dienās vai visā 3 mēnešu periodā.</w:t>
            </w:r>
            <w:r w:rsidRPr="001F3C4F">
              <w:rPr>
                <w:rFonts w:ascii="Times New Roman" w:eastAsia="Times New Roman" w:hAnsi="Times New Roman" w:cs="Times New Roman"/>
                <w:noProof/>
                <w:color w:val="000000"/>
                <w:sz w:val="26"/>
                <w:szCs w:val="26"/>
              </w:rPr>
              <w:t xml:space="preserve"> </w:t>
            </w:r>
          </w:p>
          <w:p w14:paraId="647F50C3" w14:textId="77777777" w:rsidR="001F3C4F" w:rsidRPr="001F3C4F" w:rsidRDefault="00AF5E76" w:rsidP="001F3C4F">
            <w:pPr>
              <w:shd w:val="clear" w:color="auto" w:fill="FFFFFF"/>
              <w:ind w:firstLine="731"/>
              <w:jc w:val="both"/>
              <w:rPr>
                <w:rFonts w:ascii="Times New Roman" w:eastAsia="Times New Roman" w:hAnsi="Times New Roman" w:cs="Times New Roman"/>
                <w:noProof/>
                <w:color w:val="000000"/>
                <w:sz w:val="26"/>
                <w:szCs w:val="26"/>
              </w:rPr>
            </w:pPr>
            <w:r w:rsidRPr="001F3C4F">
              <w:rPr>
                <w:rFonts w:ascii="Times New Roman" w:eastAsia="Times New Roman" w:hAnsi="Times New Roman" w:cs="Times New Roman"/>
                <w:noProof/>
                <w:color w:val="000000"/>
                <w:sz w:val="26"/>
                <w:szCs w:val="26"/>
              </w:rPr>
              <w:t>Papildus minētajam precizēts vienas personas tiesības pārstāvēt citu personu vienā ielu tirdzniecības vietā ne vairāk kā pie 2 galdiem. Līdz ar to vienai personai ar atšķirīgu statusu (fiziska persona, juridiska persona vai persona, kas atrodas darba tiesiskajās attiecībās) nebūs tiesības pārstāvēt un veikt tirdzniecību vairāk kā pie 2 galdiem.</w:t>
            </w:r>
          </w:p>
          <w:p w14:paraId="034A3F28" w14:textId="13A34371" w:rsidR="001F3C4F" w:rsidRPr="001F3C4F" w:rsidRDefault="00AF5E76" w:rsidP="001F3C4F">
            <w:pPr>
              <w:shd w:val="clear" w:color="auto" w:fill="FFFFFF"/>
              <w:ind w:firstLine="731"/>
              <w:jc w:val="both"/>
              <w:rPr>
                <w:rFonts w:ascii="Times New Roman" w:eastAsia="Times New Roman" w:hAnsi="Times New Roman" w:cs="Times New Roman"/>
                <w:noProof/>
                <w:color w:val="000000"/>
                <w:sz w:val="26"/>
                <w:szCs w:val="26"/>
              </w:rPr>
            </w:pPr>
            <w:r w:rsidRPr="001F3C4F">
              <w:rPr>
                <w:rFonts w:ascii="Times New Roman" w:eastAsia="Times New Roman" w:hAnsi="Times New Roman" w:cs="Times New Roman"/>
                <w:noProof/>
                <w:color w:val="000000"/>
                <w:sz w:val="26"/>
                <w:szCs w:val="26"/>
              </w:rPr>
              <w:t>Tiek palielināta maksimāli pieļaujamās iekārtas platība ielu tirdzniecības vietās, kas tiek izvietotas ielu sarkanajās līnijās, no 3,5</w:t>
            </w:r>
            <w:r w:rsidR="00967F18">
              <w:rPr>
                <w:rFonts w:ascii="Times New Roman" w:eastAsia="Times New Roman" w:hAnsi="Times New Roman" w:cs="Times New Roman"/>
                <w:noProof/>
                <w:color w:val="000000"/>
                <w:sz w:val="26"/>
                <w:szCs w:val="26"/>
              </w:rPr>
              <w:t> </w:t>
            </w:r>
            <w:r w:rsidR="00967F18" w:rsidRPr="001F3C4F">
              <w:rPr>
                <w:rFonts w:ascii="Times New Roman" w:eastAsia="Times New Roman" w:hAnsi="Times New Roman" w:cs="Times New Roman"/>
                <w:noProof/>
                <w:color w:val="000000"/>
                <w:sz w:val="26"/>
                <w:szCs w:val="26"/>
              </w:rPr>
              <w:t>m</w:t>
            </w:r>
            <w:r w:rsidR="00967F18" w:rsidRPr="001F3C4F">
              <w:rPr>
                <w:rFonts w:ascii="Times New Roman" w:eastAsia="Times New Roman" w:hAnsi="Times New Roman" w:cs="Times New Roman"/>
                <w:noProof/>
                <w:color w:val="000000"/>
                <w:sz w:val="26"/>
                <w:szCs w:val="26"/>
                <w:vertAlign w:val="superscript"/>
              </w:rPr>
              <w:t>2</w:t>
            </w:r>
            <w:r w:rsidRPr="001F3C4F">
              <w:rPr>
                <w:rFonts w:ascii="Times New Roman" w:eastAsia="Times New Roman" w:hAnsi="Times New Roman" w:cs="Times New Roman"/>
                <w:noProof/>
                <w:color w:val="000000"/>
                <w:sz w:val="26"/>
                <w:szCs w:val="26"/>
              </w:rPr>
              <w:t xml:space="preserve"> uz 4,7</w:t>
            </w:r>
            <w:r w:rsidR="00967F18">
              <w:rPr>
                <w:rFonts w:ascii="Times New Roman" w:eastAsia="Times New Roman" w:hAnsi="Times New Roman" w:cs="Times New Roman"/>
                <w:noProof/>
                <w:color w:val="000000"/>
                <w:sz w:val="26"/>
                <w:szCs w:val="26"/>
              </w:rPr>
              <w:t> </w:t>
            </w:r>
            <w:r w:rsidRPr="001F3C4F">
              <w:rPr>
                <w:rFonts w:ascii="Times New Roman" w:eastAsia="Times New Roman" w:hAnsi="Times New Roman" w:cs="Times New Roman"/>
                <w:noProof/>
                <w:color w:val="000000"/>
                <w:sz w:val="26"/>
                <w:szCs w:val="26"/>
              </w:rPr>
              <w:t>m</w:t>
            </w:r>
            <w:r w:rsidRPr="001F3C4F">
              <w:rPr>
                <w:rFonts w:ascii="Times New Roman" w:eastAsia="Times New Roman" w:hAnsi="Times New Roman" w:cs="Times New Roman"/>
                <w:noProof/>
                <w:color w:val="000000"/>
                <w:sz w:val="26"/>
                <w:szCs w:val="26"/>
                <w:vertAlign w:val="superscript"/>
              </w:rPr>
              <w:t>2</w:t>
            </w:r>
            <w:r w:rsidRPr="001F3C4F">
              <w:rPr>
                <w:rFonts w:ascii="Times New Roman" w:eastAsia="Times New Roman" w:hAnsi="Times New Roman" w:cs="Times New Roman"/>
                <w:noProof/>
                <w:color w:val="000000"/>
                <w:sz w:val="26"/>
                <w:szCs w:val="26"/>
              </w:rPr>
              <w:t>,</w:t>
            </w:r>
            <w:r w:rsidRPr="001F3C4F">
              <w:rPr>
                <w:rFonts w:ascii="Times New Roman" w:eastAsia="Times New Roman" w:hAnsi="Times New Roman" w:cs="Times New Roman"/>
                <w:noProof/>
                <w:color w:val="000000"/>
                <w:sz w:val="26"/>
                <w:szCs w:val="26"/>
                <w:vertAlign w:val="superscript"/>
              </w:rPr>
              <w:t xml:space="preserve"> </w:t>
            </w:r>
            <w:r w:rsidRPr="001F3C4F">
              <w:rPr>
                <w:rFonts w:ascii="Times New Roman" w:eastAsia="Times New Roman" w:hAnsi="Times New Roman" w:cs="Times New Roman"/>
                <w:noProof/>
                <w:color w:val="000000"/>
                <w:sz w:val="26"/>
                <w:szCs w:val="26"/>
              </w:rPr>
              <w:t xml:space="preserve">kas pārsvarā attiecas uz </w:t>
            </w:r>
            <w:r w:rsidRPr="001F3C4F">
              <w:rPr>
                <w:rFonts w:ascii="Times New Roman" w:eastAsia="Times New Roman" w:hAnsi="Times New Roman" w:cs="Times New Roman"/>
                <w:noProof/>
                <w:color w:val="000000"/>
                <w:sz w:val="26"/>
                <w:szCs w:val="26"/>
              </w:rPr>
              <w:t>saldējuma un karsto uzkodu tirdzniecības vietām pilsētā.</w:t>
            </w:r>
          </w:p>
          <w:p w14:paraId="52658DBD" w14:textId="77777777" w:rsidR="001F3C4F" w:rsidRPr="001F3C4F" w:rsidRDefault="00AF5E76" w:rsidP="001F3C4F">
            <w:pPr>
              <w:shd w:val="clear" w:color="auto" w:fill="FFFFFF"/>
              <w:ind w:firstLine="731"/>
              <w:jc w:val="both"/>
              <w:rPr>
                <w:rFonts w:ascii="Times New Roman" w:eastAsia="Times New Roman" w:hAnsi="Times New Roman" w:cs="Times New Roman"/>
                <w:noProof/>
                <w:color w:val="000000"/>
                <w:sz w:val="26"/>
                <w:szCs w:val="26"/>
              </w:rPr>
            </w:pPr>
            <w:r w:rsidRPr="001F3C4F">
              <w:rPr>
                <w:rFonts w:ascii="Times New Roman" w:eastAsia="Times New Roman" w:hAnsi="Times New Roman" w:cs="Times New Roman"/>
                <w:noProof/>
                <w:color w:val="000000"/>
                <w:sz w:val="26"/>
                <w:szCs w:val="26"/>
              </w:rPr>
              <w:t>Ielu tirdzniecības vietās pie kapiem tiek papildinātas pieļaujamās preču grupas, ļaujot no 23. līdz 26. decembrim papildus jau atļautajam sortimentam tirgot arī sveces.</w:t>
            </w:r>
          </w:p>
          <w:p w14:paraId="1CFB6BF3" w14:textId="77777777" w:rsidR="001F3C4F" w:rsidRPr="001F3C4F" w:rsidRDefault="00AF5E76" w:rsidP="001F3C4F">
            <w:pPr>
              <w:shd w:val="clear" w:color="auto" w:fill="FFFFFF"/>
              <w:ind w:firstLine="731"/>
              <w:jc w:val="both"/>
              <w:rPr>
                <w:rFonts w:ascii="Times New Roman" w:eastAsia="Times New Roman" w:hAnsi="Times New Roman" w:cs="Times New Roman"/>
                <w:color w:val="000000"/>
                <w:sz w:val="26"/>
                <w:szCs w:val="26"/>
                <w:lang w:eastAsia="lv-LV"/>
              </w:rPr>
            </w:pPr>
            <w:r w:rsidRPr="001F3C4F">
              <w:rPr>
                <w:rFonts w:ascii="Times New Roman" w:eastAsia="Times New Roman" w:hAnsi="Times New Roman" w:cs="Times New Roman"/>
                <w:noProof/>
                <w:color w:val="000000"/>
                <w:sz w:val="26"/>
                <w:szCs w:val="26"/>
              </w:rPr>
              <w:t xml:space="preserve"> </w:t>
            </w:r>
            <w:r w:rsidRPr="001F3C4F">
              <w:rPr>
                <w:rFonts w:ascii="Times New Roman" w:eastAsia="Times New Roman" w:hAnsi="Times New Roman" w:cs="Times New Roman"/>
                <w:b/>
                <w:bCs/>
                <w:color w:val="000000"/>
                <w:sz w:val="26"/>
                <w:szCs w:val="26"/>
                <w:lang w:eastAsia="lv-LV"/>
              </w:rPr>
              <w:t>Ielu tirdzniecības organizēšana Ziemassvētku laikā</w:t>
            </w:r>
            <w:r w:rsidRPr="001F3C4F">
              <w:rPr>
                <w:rFonts w:ascii="Times New Roman" w:eastAsia="Times New Roman" w:hAnsi="Times New Roman" w:cs="Times New Roman"/>
                <w:color w:val="000000"/>
                <w:sz w:val="26"/>
                <w:szCs w:val="26"/>
                <w:lang w:eastAsia="lv-LV"/>
              </w:rPr>
              <w:t xml:space="preserve"> - Esplanādes parka teritorija tiek izņemta no konkursa vietu saraksta, kad tiesības organizēt Ziemassvētku gadatirgu pašvaldības organizēta konkursa rezultātā tiek iegūtas uz vairākiem gadiem (vismaz uz 5 gadiem, tirdzniecībai norisinoties vismaz 1 mēnesi). Turpmāk tiesības organizēt ielu tirdzniecību Ziemassvētku laikā Esplanādē varēs veikt Noteikumu 35. punktā noteiktajā kārtībā, piedaloties SIA “Rīgas meži” rīkotajās izsolēs vai konkursos.</w:t>
            </w:r>
          </w:p>
          <w:p w14:paraId="7AC0C944" w14:textId="1702F322" w:rsidR="001F3C4F" w:rsidRPr="001F3C4F" w:rsidRDefault="00AF5E76" w:rsidP="00AF5E76">
            <w:pPr>
              <w:shd w:val="clear" w:color="auto" w:fill="FFFFFF"/>
              <w:ind w:firstLine="731"/>
              <w:jc w:val="both"/>
              <w:rPr>
                <w:rFonts w:ascii="Times New Roman" w:eastAsia="Times New Roman" w:hAnsi="Times New Roman" w:cs="Times New Roman"/>
                <w:color w:val="000000"/>
                <w:sz w:val="26"/>
                <w:szCs w:val="26"/>
                <w:lang w:eastAsia="lv-LV"/>
              </w:rPr>
            </w:pPr>
            <w:r w:rsidRPr="001F3C4F">
              <w:rPr>
                <w:rFonts w:ascii="Times New Roman" w:eastAsia="Times New Roman" w:hAnsi="Times New Roman" w:cs="Times New Roman"/>
                <w:b/>
                <w:bCs/>
                <w:color w:val="000000"/>
                <w:sz w:val="26"/>
                <w:szCs w:val="26"/>
                <w:lang w:eastAsia="lv-LV"/>
              </w:rPr>
              <w:t>Ielu tirdzniecība sabiedriskās ēdināšanas pakalpojumu sniegšanai</w:t>
            </w:r>
            <w:r w:rsidRPr="001F3C4F">
              <w:rPr>
                <w:rFonts w:ascii="Times New Roman" w:eastAsia="Times New Roman" w:hAnsi="Times New Roman" w:cs="Times New Roman"/>
                <w:color w:val="000000"/>
                <w:sz w:val="26"/>
                <w:szCs w:val="26"/>
                <w:lang w:eastAsia="lv-LV"/>
              </w:rPr>
              <w:t xml:space="preserve">  - turpmāk nebūs iedalījums pavasara/vasaras vai rudens/ziemas sezonā, kas gan vienkāršos projektu saskaņošanu Rīgas valstspilsētas pašvaldības institūcijās, ja tāda būs nepieciešama atbilstoši Saistošo noteikumu Nr. RD-24-286-sn nosacījumiem, gan vienkāršos tirdzniecības atļauju saņemšanu Rīgas Apkaimju iedzīvotāju centrā. Līdz šim tirdzniecības atļauju varēja saņemt uz vienu sezonu, turpmāk tirdzniecības atļauju varēs saņemt par periodu līdz 12 mēnešiem. Attiecīgi ir laboti un precizēti tirdzniecības vie</w:t>
            </w:r>
            <w:r w:rsidRPr="001F3C4F">
              <w:rPr>
                <w:rFonts w:ascii="Times New Roman" w:eastAsia="Times New Roman" w:hAnsi="Times New Roman" w:cs="Times New Roman"/>
                <w:color w:val="000000"/>
                <w:sz w:val="26"/>
                <w:szCs w:val="26"/>
                <w:lang w:eastAsia="lv-LV"/>
              </w:rPr>
              <w:t xml:space="preserve">tu nosacījumi, lai tie būtu piemēroti visām sezonām, svītrojot jēdzienu “sezona”. </w:t>
            </w:r>
          </w:p>
          <w:p w14:paraId="50F6251F" w14:textId="77777777" w:rsidR="001F3C4F" w:rsidRPr="001F3C4F" w:rsidRDefault="00AF5E76" w:rsidP="001F3C4F">
            <w:pPr>
              <w:shd w:val="clear" w:color="auto" w:fill="FFFFFF"/>
              <w:ind w:firstLine="731"/>
              <w:jc w:val="both"/>
              <w:rPr>
                <w:rFonts w:ascii="Times New Roman" w:eastAsia="Times New Roman" w:hAnsi="Times New Roman" w:cs="Times New Roman"/>
                <w:color w:val="000000"/>
                <w:sz w:val="26"/>
                <w:szCs w:val="26"/>
                <w:lang w:eastAsia="lv-LV"/>
              </w:rPr>
            </w:pPr>
            <w:r w:rsidRPr="001F3C4F">
              <w:rPr>
                <w:rFonts w:ascii="Times New Roman" w:eastAsia="Times New Roman" w:hAnsi="Times New Roman" w:cs="Times New Roman"/>
                <w:color w:val="000000"/>
                <w:sz w:val="26"/>
                <w:szCs w:val="26"/>
                <w:lang w:eastAsia="lv-LV"/>
              </w:rPr>
              <w:lastRenderedPageBreak/>
              <w:t xml:space="preserve">Āra kafejnīcas varēs nedemontēt pēc tirdzniecības atļaujas derīguma termiņa beigām (pēc to darbības pārtraukšanas) ar nosacījumu, ja vasaras </w:t>
            </w:r>
            <w:r w:rsidRPr="001F3C4F">
              <w:rPr>
                <w:rFonts w:ascii="Times New Roman" w:eastAsia="Times New Roman" w:hAnsi="Times New Roman" w:cs="Times New Roman"/>
                <w:color w:val="000000"/>
                <w:sz w:val="26"/>
                <w:szCs w:val="26"/>
                <w:lang w:eastAsia="lv-LV"/>
              </w:rPr>
              <w:t>kafejnīcas darbību plānots atsākt nākamajā gadā, iesniedzot attiecīgu iesniegumu Rīgas Apkaimju iedzīvotāju centrā, kā arī, ja tas netraucēs remontdarbu, drošības, valsts vai pašvaldības projektu un pasākumu realizēšanai.</w:t>
            </w:r>
          </w:p>
          <w:p w14:paraId="0DFAF400" w14:textId="77777777" w:rsidR="001F3C4F" w:rsidRPr="001F3C4F" w:rsidRDefault="00AF5E76" w:rsidP="001F3C4F">
            <w:pPr>
              <w:shd w:val="clear" w:color="auto" w:fill="FFFFFF"/>
              <w:ind w:firstLine="731"/>
              <w:jc w:val="both"/>
              <w:rPr>
                <w:rFonts w:ascii="Times New Roman" w:eastAsia="Times New Roman" w:hAnsi="Times New Roman" w:cs="Times New Roman"/>
                <w:color w:val="000000"/>
                <w:sz w:val="26"/>
                <w:szCs w:val="26"/>
                <w:lang w:eastAsia="lv-LV"/>
              </w:rPr>
            </w:pPr>
            <w:r w:rsidRPr="001F3C4F">
              <w:rPr>
                <w:rFonts w:ascii="Times New Roman" w:eastAsia="Times New Roman" w:hAnsi="Times New Roman" w:cs="Times New Roman"/>
                <w:color w:val="000000"/>
                <w:sz w:val="26"/>
                <w:szCs w:val="26"/>
                <w:lang w:eastAsia="lv-LV"/>
              </w:rPr>
              <w:t xml:space="preserve">Ņemot vērā, ka tiek atļauts nedemontēt āra terases ilgstošā laika periodā, Noteikumi papildināti ar nosacījumiem cietā seguma izbūvei apkārt kokiem. Šajā nosacījumā minētais definējums “kritiskā sakņu aizsardzības zona” skaidrots Rīgas domes saistošajos noteikumos par koku, kas aug ārpus meža, aizsardzību, uzturēšanu un ciršanu. </w:t>
            </w:r>
          </w:p>
          <w:p w14:paraId="63D65F90" w14:textId="6B68148C" w:rsidR="00156D0B" w:rsidRPr="00AF5E76" w:rsidRDefault="00AF5E76" w:rsidP="00AF5E76">
            <w:pPr>
              <w:shd w:val="clear" w:color="auto" w:fill="FFFFFF"/>
              <w:ind w:firstLine="731"/>
              <w:jc w:val="both"/>
              <w:rPr>
                <w:rFonts w:ascii="Times New Roman" w:eastAsia="Times New Roman" w:hAnsi="Times New Roman" w:cs="Times New Roman"/>
                <w:color w:val="000000"/>
                <w:sz w:val="26"/>
                <w:szCs w:val="26"/>
                <w:lang w:eastAsia="lv-LV"/>
              </w:rPr>
            </w:pPr>
            <w:r w:rsidRPr="001F3C4F">
              <w:rPr>
                <w:rFonts w:ascii="Times New Roman" w:eastAsia="Times New Roman" w:hAnsi="Times New Roman" w:cs="Times New Roman"/>
                <w:color w:val="000000"/>
                <w:sz w:val="26"/>
                <w:szCs w:val="26"/>
                <w:lang w:eastAsia="lv-LV"/>
              </w:rPr>
              <w:t>Visiem ielu tirdzniecības veidiem ir precizēti vienoti nosacījumi dažādu objektu aizsegšanai ar ielu tirdzniecības vietu – gadījumos, kad tiek aizsegti skatlogi, nepieciešama tieši tā lietotāja (piemēram, nomnieka) piekrišana nevis telpu īpašnieka, kā tas bija noteikts līdz šim, lai aizstāvētu telpu lietotāju (nomnieku) komercintereses, kad var tikt aizsegts skatlogs, kuru telpu lietotājs (nomnieks) izmanto savu klientu uzrunāšanai.</w:t>
            </w:r>
          </w:p>
        </w:tc>
      </w:tr>
      <w:tr w:rsidR="007D3E66" w14:paraId="6F6E7C67" w14:textId="77777777" w:rsidTr="00FB4361">
        <w:tc>
          <w:tcPr>
            <w:tcW w:w="9247" w:type="dxa"/>
          </w:tcPr>
          <w:p w14:paraId="01527FE5" w14:textId="5CBBAE4D" w:rsidR="007752F6" w:rsidRPr="00E4791C" w:rsidRDefault="00AF5E76"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 xml:space="preserve">2. Fiskālā ietekme uz </w:t>
            </w:r>
            <w:r w:rsidRPr="00E4791C">
              <w:rPr>
                <w:rFonts w:ascii="Times New Roman" w:eastAsia="Times New Roman" w:hAnsi="Times New Roman" w:cs="Times New Roman"/>
                <w:b/>
                <w:bCs/>
                <w:color w:val="000000" w:themeColor="text1"/>
                <w:sz w:val="26"/>
                <w:szCs w:val="26"/>
                <w:lang w:eastAsia="lv-LV"/>
              </w:rPr>
              <w:t>pašvaldības budžetu, iekļaujot attiecīgus aprēķinus (šo informāciju neiekļauj saistošajiem noteikumiem par pašvaldības nodevām)</w:t>
            </w:r>
          </w:p>
          <w:p w14:paraId="111F0E26" w14:textId="12E930D4" w:rsidR="00D865F3" w:rsidRPr="00E4791C" w:rsidRDefault="00AF5E76" w:rsidP="00AF5E76">
            <w:pPr>
              <w:shd w:val="clear" w:color="auto" w:fill="FFFFFF"/>
              <w:ind w:firstLine="731"/>
              <w:jc w:val="both"/>
              <w:rPr>
                <w:rFonts w:ascii="Times New Roman" w:eastAsia="Times New Roman" w:hAnsi="Times New Roman" w:cs="Times New Roman"/>
                <w:b/>
                <w:bCs/>
                <w:color w:val="000000" w:themeColor="text1"/>
                <w:sz w:val="26"/>
                <w:szCs w:val="26"/>
                <w:lang w:eastAsia="lv-LV"/>
              </w:rPr>
            </w:pPr>
            <w:r w:rsidRPr="00B350B5">
              <w:rPr>
                <w:rFonts w:ascii="Times New Roman" w:eastAsia="Times New Roman" w:hAnsi="Times New Roman" w:cs="Times New Roman"/>
                <w:noProof/>
                <w:kern w:val="2"/>
                <w:sz w:val="26"/>
                <w:szCs w:val="26"/>
                <w14:ligatures w14:val="standardContextual"/>
              </w:rPr>
              <w:t>Noteikumu izdošana neietekmēs pašvaldībai pieejamos resursus, jo nav nepieciešama jaunu institūciju vai darba vietu izveide vai esošo institūciju kompetences paplašināšana, lai nodrošinātu Noteikumu izpildi.</w:t>
            </w:r>
          </w:p>
        </w:tc>
      </w:tr>
      <w:tr w:rsidR="007D3E66" w14:paraId="7EF01694" w14:textId="77777777" w:rsidTr="00FB4361">
        <w:tc>
          <w:tcPr>
            <w:tcW w:w="9247" w:type="dxa"/>
          </w:tcPr>
          <w:p w14:paraId="15A7EBD1" w14:textId="05B65B68" w:rsidR="007752F6" w:rsidRPr="00E4791C" w:rsidRDefault="00AF5E76"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3. Sociālā ietekme, ietekme uz vidi, iedzīvotāju veselību, uzņēmējdarbības vidi pašvaldības teritorijā, kā arī plānotā regulējuma ietekme uz konkurenci (aktuālā situācija, prognozes tirgū un atbilstība brīvai un godīgai konkurencei)</w:t>
            </w:r>
          </w:p>
          <w:p w14:paraId="331494C8" w14:textId="77777777" w:rsidR="001F3C4F" w:rsidRPr="001F3C4F" w:rsidRDefault="00AF5E76" w:rsidP="00967F18">
            <w:pPr>
              <w:shd w:val="clear" w:color="auto" w:fill="FFFFFF"/>
              <w:ind w:firstLine="731"/>
              <w:jc w:val="both"/>
              <w:rPr>
                <w:rFonts w:ascii="Times New Roman" w:eastAsia="Times New Roman" w:hAnsi="Times New Roman" w:cs="Times New Roman"/>
                <w:color w:val="000000" w:themeColor="text1"/>
                <w:sz w:val="26"/>
                <w:szCs w:val="26"/>
                <w:lang w:eastAsia="lv-LV"/>
              </w:rPr>
            </w:pPr>
            <w:r w:rsidRPr="001F3C4F">
              <w:rPr>
                <w:rFonts w:ascii="Times New Roman" w:eastAsia="Times New Roman" w:hAnsi="Times New Roman" w:cs="Times New Roman"/>
                <w:color w:val="000000" w:themeColor="text1"/>
                <w:sz w:val="26"/>
                <w:szCs w:val="26"/>
                <w:lang w:eastAsia="lv-LV"/>
              </w:rPr>
              <w:t xml:space="preserve">Noteikumi paredz izmaiņas līdzšinējā kārtībā, kādā var veikt ielu tirdzniecību pašvaldības iekārtotajās vietās, nosakot, ka visos gadījumos atļauja tiek izsniegta uz laika periodu, kas </w:t>
            </w:r>
            <w:r w:rsidRPr="001F3C4F">
              <w:rPr>
                <w:rFonts w:ascii="Times New Roman" w:eastAsia="Times New Roman" w:hAnsi="Times New Roman" w:cs="Times New Roman"/>
                <w:color w:val="000000" w:themeColor="text1"/>
                <w:sz w:val="26"/>
                <w:szCs w:val="26"/>
                <w:lang w:eastAsia="lv-LV"/>
              </w:rPr>
              <w:t>nepārsniedz 3 mēnešus.  Minētā korekcija tiek ieviesta, lai novērstu pēdējos gados konstatēto negodīgo konkurenci starp tirdzniecības dalībniekiem, kad tirdzniecības vietās tiek izņemtas atļaujas darbībai laika periodā līdz pat 12 mēnešiem, neveicot tirdzniecību no tiem. Tādā veidā mākslīgi tiek radīti negodīgi konkurences apstākļi citiem ielu tirgotājiem, kas vēlas realizēt savu produkciju, taču tirdzniecības vietas jau ir fiktīvi aizņemtas ilgstošā laika periodā. Papildus minētajam tiek noteikti ierobežoj</w:t>
            </w:r>
            <w:r w:rsidRPr="001F3C4F">
              <w:rPr>
                <w:rFonts w:ascii="Times New Roman" w:eastAsia="Times New Roman" w:hAnsi="Times New Roman" w:cs="Times New Roman"/>
                <w:color w:val="000000" w:themeColor="text1"/>
                <w:sz w:val="26"/>
                <w:szCs w:val="26"/>
                <w:lang w:eastAsia="lv-LV"/>
              </w:rPr>
              <w:t>umi pārstāvēt citu personu tirdzniecības vietā, ja ielu tirdzniecības vieta ir pašvaldības iekārtota un aprīkota ar tirdzniecības galdiem, nosakot, ka viena persona visos gadījumos var pārstāvēt citu personu ne vairāk kā pie diviem blakus esošiem tirdzniecības galdiem. Tādā veidā tiek novērsta negodīga rīcība vienai un tai pašai personai, gan kā fiziskai personai, gan kā juridiskai, vai darba tiesiskajās attiecībās esošai, pārstāvēt dažādas citas personas pie vairākiem tirdzniecības galdiem, mākslīgi veidoj</w:t>
            </w:r>
            <w:r w:rsidRPr="001F3C4F">
              <w:rPr>
                <w:rFonts w:ascii="Times New Roman" w:eastAsia="Times New Roman" w:hAnsi="Times New Roman" w:cs="Times New Roman"/>
                <w:color w:val="000000" w:themeColor="text1"/>
                <w:sz w:val="26"/>
                <w:szCs w:val="26"/>
                <w:lang w:eastAsia="lv-LV"/>
              </w:rPr>
              <w:t>ot monopola situāciju. Bieži vien arī šādas tirdzniecības vietas faktiski netiek aizņemtas, neļaujot citiem potenciāliem tirdzniecības dalībniekiem realizēt savu preci.</w:t>
            </w:r>
          </w:p>
          <w:p w14:paraId="379C85AD" w14:textId="6DD5D067" w:rsidR="001F3C4F" w:rsidRPr="001F3C4F" w:rsidRDefault="00AF5E76" w:rsidP="00967F18">
            <w:pPr>
              <w:shd w:val="clear" w:color="auto" w:fill="FFFFFF"/>
              <w:ind w:firstLine="731"/>
              <w:jc w:val="both"/>
              <w:rPr>
                <w:rFonts w:ascii="Times New Roman" w:eastAsia="Times New Roman" w:hAnsi="Times New Roman" w:cs="Times New Roman"/>
                <w:color w:val="000000" w:themeColor="text1"/>
                <w:sz w:val="26"/>
                <w:szCs w:val="26"/>
                <w:lang w:eastAsia="lv-LV"/>
              </w:rPr>
            </w:pPr>
            <w:r w:rsidRPr="001F3C4F">
              <w:rPr>
                <w:rFonts w:ascii="Times New Roman" w:eastAsia="Times New Roman" w:hAnsi="Times New Roman" w:cs="Times New Roman"/>
                <w:color w:val="000000" w:themeColor="text1"/>
                <w:sz w:val="26"/>
                <w:szCs w:val="26"/>
                <w:lang w:eastAsia="lv-LV"/>
              </w:rPr>
              <w:t>Atteikšanās sezonas iedalījuma</w:t>
            </w:r>
            <w:r w:rsidR="00967F18">
              <w:rPr>
                <w:rFonts w:ascii="Times New Roman" w:eastAsia="Times New Roman" w:hAnsi="Times New Roman" w:cs="Times New Roman"/>
                <w:color w:val="000000" w:themeColor="text1"/>
                <w:sz w:val="26"/>
                <w:szCs w:val="26"/>
                <w:lang w:eastAsia="lv-LV"/>
              </w:rPr>
              <w:t>m</w:t>
            </w:r>
            <w:r w:rsidRPr="001F3C4F">
              <w:rPr>
                <w:rFonts w:ascii="Times New Roman" w:eastAsia="Times New Roman" w:hAnsi="Times New Roman" w:cs="Times New Roman"/>
                <w:color w:val="000000" w:themeColor="text1"/>
                <w:sz w:val="26"/>
                <w:szCs w:val="26"/>
                <w:lang w:eastAsia="lv-LV"/>
              </w:rPr>
              <w:t xml:space="preserve"> ielu tirdzniecībai sabiedriskās ēdināšanas pakalpojumu sniegšanai uzlabos uzņēmējdarbības vidi, mazinot birokrātiju ielu tirdzniecības atļauju saņemšanai. </w:t>
            </w:r>
          </w:p>
          <w:p w14:paraId="68221798" w14:textId="24AF1291" w:rsidR="001F3C4F" w:rsidRPr="00AF5E76" w:rsidRDefault="00AF5E76" w:rsidP="00AF5E76">
            <w:pPr>
              <w:shd w:val="clear" w:color="auto" w:fill="FFFFFF"/>
              <w:ind w:firstLine="731"/>
              <w:jc w:val="both"/>
              <w:rPr>
                <w:rFonts w:ascii="Times New Roman" w:eastAsia="Times New Roman" w:hAnsi="Times New Roman" w:cs="Times New Roman"/>
                <w:color w:val="000000" w:themeColor="text1"/>
                <w:sz w:val="26"/>
                <w:szCs w:val="26"/>
                <w:lang w:eastAsia="lv-LV"/>
              </w:rPr>
            </w:pPr>
            <w:r w:rsidRPr="001F3C4F">
              <w:rPr>
                <w:rFonts w:ascii="Times New Roman" w:eastAsia="Times New Roman" w:hAnsi="Times New Roman" w:cs="Times New Roman"/>
                <w:color w:val="000000" w:themeColor="text1"/>
                <w:sz w:val="26"/>
                <w:szCs w:val="26"/>
                <w:lang w:eastAsia="lv-LV"/>
              </w:rPr>
              <w:t>Ar Noteikumiem tiek novērsta iespēja turpmāk aizsegt skatlogus ar ielu tirdzniecības vietas risinājumu bez to telpu lietotāja (nomnieka) piekrišanas, tādā veidā uzlabojot uzņēmējdarbības vidi un mazinot iespējamu negodīgu konkurenci starp ielu tirgotājiem un telpu lietotājiem.</w:t>
            </w:r>
          </w:p>
        </w:tc>
      </w:tr>
      <w:tr w:rsidR="007D3E66" w14:paraId="6251B64A" w14:textId="77777777" w:rsidTr="00FB4361">
        <w:tc>
          <w:tcPr>
            <w:tcW w:w="9247" w:type="dxa"/>
          </w:tcPr>
          <w:p w14:paraId="50703145" w14:textId="3FDD459A" w:rsidR="007752F6" w:rsidRPr="00E4791C" w:rsidRDefault="00AF5E76"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lastRenderedPageBreak/>
              <w:t xml:space="preserve">4. Ietekme uz administratīvajām procedūrām un to izmaksām gan attiecībā uz saimnieciskās darbības veicējiem, gan </w:t>
            </w:r>
            <w:r w:rsidRPr="00E4791C">
              <w:rPr>
                <w:rFonts w:ascii="Times New Roman" w:eastAsia="Times New Roman" w:hAnsi="Times New Roman" w:cs="Times New Roman"/>
                <w:b/>
                <w:bCs/>
                <w:color w:val="000000" w:themeColor="text1"/>
                <w:sz w:val="26"/>
                <w:szCs w:val="26"/>
                <w:lang w:eastAsia="lv-LV"/>
              </w:rPr>
              <w:t>fiziskajām personām un nevalstiskā sektora organizācijām, gan budžeta finansētām institūcijām</w:t>
            </w:r>
          </w:p>
          <w:p w14:paraId="0C959A6B" w14:textId="3248658D" w:rsidR="001F3C4F" w:rsidRPr="00AF5E76" w:rsidRDefault="00AF5E76" w:rsidP="00AF5E76">
            <w:pPr>
              <w:ind w:firstLine="731"/>
              <w:jc w:val="both"/>
              <w:rPr>
                <w:rFonts w:ascii="Times New Roman" w:eastAsia="Times New Roman" w:hAnsi="Times New Roman" w:cs="Times New Roman"/>
                <w:noProof/>
                <w:color w:val="000000"/>
                <w:kern w:val="2"/>
                <w:sz w:val="26"/>
                <w:szCs w:val="26"/>
                <w14:ligatures w14:val="standardContextual"/>
              </w:rPr>
            </w:pPr>
            <w:r w:rsidRPr="001F3C4F">
              <w:rPr>
                <w:rFonts w:ascii="Times New Roman" w:eastAsia="Times New Roman" w:hAnsi="Times New Roman" w:cs="Times New Roman"/>
                <w:noProof/>
                <w:color w:val="000000"/>
                <w:kern w:val="2"/>
                <w:sz w:val="26"/>
                <w:szCs w:val="26"/>
                <w14:ligatures w14:val="standardContextual"/>
              </w:rPr>
              <w:t xml:space="preserve">Nav ietekmes. Administratīvās procedūras netiek mainītas </w:t>
            </w:r>
          </w:p>
        </w:tc>
      </w:tr>
      <w:tr w:rsidR="007D3E66" w14:paraId="280F62ED" w14:textId="77777777" w:rsidTr="00FB4361">
        <w:tc>
          <w:tcPr>
            <w:tcW w:w="9247" w:type="dxa"/>
          </w:tcPr>
          <w:p w14:paraId="22CAF928" w14:textId="26C3EDDA" w:rsidR="007752F6" w:rsidRPr="00E4791C" w:rsidRDefault="00AF5E76"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5. Ietekme uz pašvaldības funkcijām un cilvēkresursiem</w:t>
            </w:r>
          </w:p>
          <w:p w14:paraId="1D963F84" w14:textId="059EA5B9" w:rsidR="00967F18" w:rsidRPr="00AF5E76" w:rsidRDefault="00AF5E76" w:rsidP="00AF5E76">
            <w:pPr>
              <w:ind w:firstLine="731"/>
              <w:jc w:val="both"/>
              <w:rPr>
                <w:rFonts w:ascii="Times New Roman" w:eastAsia="Times New Roman" w:hAnsi="Times New Roman" w:cs="Times New Roman"/>
                <w:noProof/>
                <w:kern w:val="2"/>
                <w:sz w:val="26"/>
                <w:szCs w:val="26"/>
                <w:lang w:eastAsia="lv-LV"/>
                <w14:ligatures w14:val="standardContextual"/>
              </w:rPr>
            </w:pPr>
            <w:r w:rsidRPr="001F3C4F">
              <w:rPr>
                <w:rFonts w:ascii="Times New Roman" w:eastAsia="Times New Roman" w:hAnsi="Times New Roman" w:cs="Times New Roman"/>
                <w:noProof/>
                <w:kern w:val="2"/>
                <w:sz w:val="26"/>
                <w:szCs w:val="26"/>
                <w:lang w:eastAsia="lv-LV"/>
                <w14:ligatures w14:val="standardContextual"/>
              </w:rPr>
              <w:t>Saistošo noteikumu izpildei nav nepieciešams veidot jaunas pašvaldības institūcijas, darba vietas vai paplašināt esošo institūciju kompetenci.</w:t>
            </w:r>
          </w:p>
        </w:tc>
      </w:tr>
      <w:tr w:rsidR="007D3E66" w14:paraId="54A43D2F" w14:textId="77777777" w:rsidTr="00FB4361">
        <w:tc>
          <w:tcPr>
            <w:tcW w:w="9247" w:type="dxa"/>
          </w:tcPr>
          <w:p w14:paraId="2D2D120D" w14:textId="554D7259" w:rsidR="007752F6" w:rsidRPr="00E4791C" w:rsidRDefault="00AF5E76" w:rsidP="00F10E25">
            <w:pPr>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6. Izpildes nodrošināšana</w:t>
            </w:r>
          </w:p>
          <w:p w14:paraId="255BFA76" w14:textId="6359C31A" w:rsidR="00AF5E76" w:rsidRPr="00AF5E76" w:rsidRDefault="00AF5E76" w:rsidP="00AF5E76">
            <w:pPr>
              <w:ind w:firstLine="731"/>
              <w:jc w:val="both"/>
              <w:rPr>
                <w:rFonts w:ascii="Times New Roman" w:eastAsia="Times New Roman" w:hAnsi="Times New Roman" w:cs="Times New Roman"/>
                <w:noProof/>
                <w:color w:val="000000"/>
                <w:kern w:val="2"/>
                <w:sz w:val="26"/>
                <w:szCs w:val="26"/>
                <w14:ligatures w14:val="standardContextual"/>
              </w:rPr>
            </w:pPr>
            <w:r w:rsidRPr="001F3C4F">
              <w:rPr>
                <w:rFonts w:ascii="Times New Roman" w:eastAsia="Times New Roman" w:hAnsi="Times New Roman" w:cs="Times New Roman"/>
                <w:noProof/>
                <w:color w:val="000000"/>
                <w:kern w:val="2"/>
                <w:sz w:val="26"/>
                <w:szCs w:val="26"/>
                <w14:ligatures w14:val="standardContextual"/>
              </w:rPr>
              <w:t xml:space="preserve">Noteikumu izpildi nodrošina </w:t>
            </w:r>
            <w:r w:rsidRPr="001F3C4F">
              <w:rPr>
                <w:rFonts w:ascii="Times New Roman" w:eastAsia="Times New Roman" w:hAnsi="Times New Roman" w:cs="Times New Roman"/>
                <w:color w:val="000000"/>
                <w:sz w:val="26"/>
                <w:szCs w:val="26"/>
                <w:lang w:eastAsia="lv-LV"/>
              </w:rPr>
              <w:t xml:space="preserve">Saistošajos noteikumos Nr. RD-24-286-sn </w:t>
            </w:r>
            <w:r w:rsidRPr="001F3C4F">
              <w:rPr>
                <w:rFonts w:ascii="Times New Roman" w:eastAsia="Times New Roman" w:hAnsi="Times New Roman" w:cs="Times New Roman"/>
                <w:noProof/>
                <w:color w:val="000000"/>
                <w:kern w:val="2"/>
                <w:sz w:val="26"/>
                <w:szCs w:val="26"/>
                <w14:ligatures w14:val="standardContextual"/>
              </w:rPr>
              <w:t xml:space="preserve">norādītās Rīgas valstspilsētas pašvaldības </w:t>
            </w:r>
            <w:r w:rsidRPr="001F3C4F">
              <w:rPr>
                <w:rFonts w:ascii="Times New Roman" w:eastAsia="Times New Roman" w:hAnsi="Times New Roman" w:cs="Times New Roman"/>
                <w:noProof/>
                <w:color w:val="000000"/>
                <w:kern w:val="2"/>
                <w:sz w:val="26"/>
                <w:szCs w:val="26"/>
                <w14:ligatures w14:val="standardContextual"/>
              </w:rPr>
              <w:t>institūcijas atbilstoši tajos norādītajai kompetencei.</w:t>
            </w:r>
          </w:p>
        </w:tc>
      </w:tr>
      <w:tr w:rsidR="007D3E66" w14:paraId="54C9558D" w14:textId="77777777" w:rsidTr="00FB4361">
        <w:tc>
          <w:tcPr>
            <w:tcW w:w="9247" w:type="dxa"/>
          </w:tcPr>
          <w:p w14:paraId="7BCC7547" w14:textId="17289A66" w:rsidR="007752F6" w:rsidRPr="00E4791C" w:rsidRDefault="00AF5E76"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7. Prasību un izmaksu samērīgums pret ieguvumiem, ko sniedz mērķa sasniegšana</w:t>
            </w:r>
          </w:p>
          <w:p w14:paraId="67AC3710" w14:textId="3A95C0C9" w:rsidR="00D865F3" w:rsidRPr="00E4791C" w:rsidRDefault="00AF5E76" w:rsidP="00967F18">
            <w:pPr>
              <w:ind w:firstLine="731"/>
              <w:jc w:val="both"/>
              <w:rPr>
                <w:rFonts w:ascii="Times New Roman" w:eastAsia="Times New Roman" w:hAnsi="Times New Roman" w:cs="Times New Roman"/>
                <w:b/>
                <w:bCs/>
                <w:color w:val="000000" w:themeColor="text1"/>
                <w:sz w:val="26"/>
                <w:szCs w:val="26"/>
                <w:lang w:eastAsia="lv-LV"/>
              </w:rPr>
            </w:pPr>
            <w:r w:rsidRPr="00B350B5">
              <w:rPr>
                <w:rFonts w:ascii="Times New Roman" w:eastAsia="Times New Roman" w:hAnsi="Times New Roman" w:cs="Times New Roman"/>
                <w:noProof/>
                <w:kern w:val="2"/>
                <w:sz w:val="26"/>
                <w:szCs w:val="26"/>
                <w14:ligatures w14:val="standardContextual"/>
              </w:rPr>
              <w:t xml:space="preserve">Noteikumu regulējums ir izstrādāts atbilstoši normatīvajos aktos ielu tirdzniecības jomā noteiktajam </w:t>
            </w:r>
            <w:r w:rsidRPr="00B350B5">
              <w:rPr>
                <w:rFonts w:ascii="Times New Roman" w:eastAsia="Times New Roman" w:hAnsi="Times New Roman" w:cs="Times New Roman"/>
                <w:noProof/>
                <w:kern w:val="2"/>
                <w:sz w:val="26"/>
                <w:szCs w:val="26"/>
                <w14:ligatures w14:val="standardContextual"/>
              </w:rPr>
              <w:t>pilnvarojumam ar mērķi veidot harmoniski attīstītu un sakārtotu vidi Rīgas pilsētā, samērojot gan uzņēmēju intereses, gan pilsētas vides prasības, kā arī iedzīvotāju un viesu intereses. Noteikumos ietvertais regulējums un noteiktie ierobežojumi ir vērsti uz šī mērķa sasniegšanu un ir samērīgi.</w:t>
            </w:r>
          </w:p>
        </w:tc>
      </w:tr>
      <w:tr w:rsidR="007D3E66" w14:paraId="1996B93B" w14:textId="77777777" w:rsidTr="00FB4361">
        <w:tc>
          <w:tcPr>
            <w:tcW w:w="9247" w:type="dxa"/>
          </w:tcPr>
          <w:p w14:paraId="038C6057" w14:textId="0BB7FB46" w:rsidR="007752F6" w:rsidRPr="00E4791C" w:rsidRDefault="00AF5E76"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8. Izstrādes gaitā veiktās konsultācijas ar privātpersonām un institūcijām, tostarp sabiedrības viedokļa noskaidrošanā gūtā informācija</w:t>
            </w:r>
          </w:p>
          <w:p w14:paraId="1D657982" w14:textId="77777777" w:rsidR="001F3C4F" w:rsidRDefault="00AF5E76" w:rsidP="00967F18">
            <w:pPr>
              <w:ind w:firstLine="731"/>
              <w:jc w:val="both"/>
              <w:rPr>
                <w:rFonts w:ascii="Times New Roman" w:eastAsia="Times New Roman" w:hAnsi="Times New Roman" w:cs="Times New Roman"/>
                <w:color w:val="000000" w:themeColor="text1"/>
                <w:sz w:val="26"/>
                <w:szCs w:val="26"/>
                <w:lang w:eastAsia="lv-LV"/>
              </w:rPr>
            </w:pPr>
            <w:r w:rsidRPr="001F3C4F">
              <w:rPr>
                <w:rFonts w:ascii="Times New Roman" w:eastAsia="Times New Roman" w:hAnsi="Times New Roman" w:cs="Times New Roman"/>
                <w:color w:val="000000" w:themeColor="text1"/>
                <w:sz w:val="26"/>
                <w:szCs w:val="26"/>
                <w:lang w:eastAsia="lv-LV"/>
              </w:rPr>
              <w:t xml:space="preserve">No ielu tirdzniecības dalībniekiem, kas veic tirdzniecību pašvaldības iekārtotajās ielu tirdzniecības vietās, saņemti gan telefoniski, gan rakstiski ierosinājumi jautājumā par negodīgiem konkurences apstākļiem un monopolstāvokļa mākslīgu radīšanu gadījumos, kad, saņemot tirdzniecības atļaujas, netiek veikta ielu tirdzniecība. Tādā veidā ilgstoši, līdz pat 10 mēnešiem gadā, apkārt savai tirdzniecības vietai nodrošina brīvus neaizņemtus galdus. </w:t>
            </w:r>
          </w:p>
          <w:p w14:paraId="6E43138D" w14:textId="46324452" w:rsidR="001F3C4F" w:rsidRPr="001F3C4F" w:rsidRDefault="00AF5E76" w:rsidP="00967F18">
            <w:pPr>
              <w:ind w:firstLine="731"/>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Saņemts ierosinājums no tirdzniecības dalībniekiem, kas veic tirdzniecību pie kapiem, atļaut tirgot sveces arī Ziemassvētku laikā. </w:t>
            </w:r>
          </w:p>
          <w:p w14:paraId="1A03A9D3" w14:textId="67362914" w:rsidR="00D865F3" w:rsidRPr="00E4791C" w:rsidRDefault="00AF5E76" w:rsidP="00AF5E76">
            <w:pPr>
              <w:ind w:firstLine="731"/>
              <w:jc w:val="both"/>
              <w:rPr>
                <w:rFonts w:ascii="Times New Roman" w:eastAsia="Times New Roman" w:hAnsi="Times New Roman" w:cs="Times New Roman"/>
                <w:b/>
                <w:bCs/>
                <w:color w:val="000000" w:themeColor="text1"/>
                <w:sz w:val="26"/>
                <w:szCs w:val="26"/>
                <w:lang w:eastAsia="lv-LV"/>
              </w:rPr>
            </w:pPr>
            <w:r w:rsidRPr="001F3C4F">
              <w:rPr>
                <w:rFonts w:ascii="Times New Roman" w:eastAsia="Times New Roman" w:hAnsi="Times New Roman" w:cs="Times New Roman"/>
                <w:color w:val="000000" w:themeColor="text1"/>
                <w:sz w:val="26"/>
                <w:szCs w:val="26"/>
                <w:lang w:eastAsia="lv-LV"/>
              </w:rPr>
              <w:t>2025. gada 31. jūlijā Rātsnamā notika tikšanās ar sabiedriskās ēdināšanas pakalpojumu sniedzējiem un Latvijas restorānu biedrības pārstāvjiem. Tikšanās laikā uzņēmēji norādīja, ka iespēja nedemontēt ielu tirdzniecības vietas sabiedriskās ēdināšanas pakalpojuma sniegšanai ir būtisks finansiālais atspaids uzņēmējiem, un aicināji rast iespēju arī turpmāk paredzēt iespēju nedemontēt terasi ziemas laikā.</w:t>
            </w:r>
          </w:p>
        </w:tc>
      </w:tr>
    </w:tbl>
    <w:p w14:paraId="06C29EBE" w14:textId="77777777" w:rsidR="007752F6" w:rsidRPr="00965DE1" w:rsidRDefault="007752F6" w:rsidP="00F10E25">
      <w:pPr>
        <w:shd w:val="clear" w:color="auto" w:fill="FFFFFF"/>
        <w:spacing w:after="0" w:line="240" w:lineRule="auto"/>
        <w:rPr>
          <w:rFonts w:ascii="Times New Roman" w:eastAsia="Times New Roman" w:hAnsi="Times New Roman" w:cs="Times New Roman"/>
          <w:b/>
          <w:bCs/>
          <w:color w:val="751315"/>
          <w:sz w:val="26"/>
          <w:szCs w:val="26"/>
          <w:lang w:eastAsia="lv-LV"/>
        </w:rPr>
      </w:pPr>
    </w:p>
    <w:p w14:paraId="735095B8" w14:textId="1E7537F0" w:rsidR="007752F6" w:rsidRPr="00965DE1" w:rsidRDefault="00AF5E76" w:rsidP="00F10E25">
      <w:pPr>
        <w:spacing w:after="0" w:line="240" w:lineRule="auto"/>
        <w:rPr>
          <w:rFonts w:ascii="Times New Roman" w:hAnsi="Times New Roman" w:cs="Times New Roman"/>
          <w:sz w:val="26"/>
          <w:szCs w:val="26"/>
        </w:rPr>
      </w:pPr>
      <w:r w:rsidRPr="00965DE1">
        <w:rPr>
          <w:rFonts w:ascii="Times New Roman" w:hAnsi="Times New Roman" w:cs="Times New Roman"/>
          <w:sz w:val="26"/>
          <w:szCs w:val="26"/>
        </w:rPr>
        <w:t>*Šo paskaidrojuma rakstu nepievieno saistošo noteikumu projektam par pašvaldības budžetu un saistošo noteikumu projektam teritorijas plānošanas jomā.</w:t>
      </w:r>
    </w:p>
    <w:p w14:paraId="11EFBF71" w14:textId="35900FF1" w:rsidR="00D865F3" w:rsidRPr="00965DE1" w:rsidRDefault="00D865F3" w:rsidP="00F10E25">
      <w:pPr>
        <w:spacing w:after="0" w:line="240" w:lineRule="auto"/>
        <w:rPr>
          <w:rFonts w:ascii="Times New Roman" w:hAnsi="Times New Roman" w:cs="Times New Roman"/>
          <w:sz w:val="26"/>
          <w:szCs w:val="26"/>
        </w:rPr>
      </w:pPr>
    </w:p>
    <w:p w14:paraId="72C06BBC" w14:textId="5AF20DAC" w:rsidR="00D865F3" w:rsidRPr="00965DE1" w:rsidRDefault="00D865F3" w:rsidP="00F10E25">
      <w:pPr>
        <w:spacing w:after="0" w:line="240" w:lineRule="auto"/>
        <w:rPr>
          <w:rFonts w:ascii="Times New Roman" w:hAnsi="Times New Roman" w:cs="Times New Roman"/>
          <w:sz w:val="26"/>
          <w:szCs w:val="26"/>
        </w:rPr>
      </w:pPr>
    </w:p>
    <w:p w14:paraId="13035B6D" w14:textId="02D71335" w:rsidR="00D865F3" w:rsidRPr="00965DE1" w:rsidRDefault="00D865F3" w:rsidP="00F10E25">
      <w:pPr>
        <w:spacing w:after="0" w:line="240" w:lineRule="auto"/>
        <w:rPr>
          <w:rFonts w:ascii="Times New Roman" w:hAnsi="Times New Roman" w:cs="Times New Roman"/>
          <w:sz w:val="26"/>
          <w:szCs w:val="26"/>
        </w:rPr>
      </w:pPr>
    </w:p>
    <w:p w14:paraId="10088AFC" w14:textId="20C4459B" w:rsidR="00D865F3" w:rsidRPr="00965DE1" w:rsidRDefault="00AF5E76" w:rsidP="00F10E25">
      <w:pPr>
        <w:spacing w:after="0" w:line="240" w:lineRule="auto"/>
        <w:rPr>
          <w:rFonts w:ascii="Times New Roman" w:hAnsi="Times New Roman" w:cs="Times New Roman"/>
          <w:sz w:val="26"/>
          <w:szCs w:val="26"/>
        </w:rPr>
      </w:pPr>
      <w:r>
        <w:rPr>
          <w:rFonts w:ascii="Times New Roman" w:hAnsi="Times New Roman" w:cs="Times New Roman"/>
          <w:sz w:val="26"/>
          <w:szCs w:val="26"/>
        </w:rPr>
        <w:t>Rīgas d</w:t>
      </w:r>
      <w:r w:rsidRPr="00965DE1">
        <w:rPr>
          <w:rFonts w:ascii="Times New Roman" w:hAnsi="Times New Roman" w:cs="Times New Roman"/>
          <w:sz w:val="26"/>
          <w:szCs w:val="26"/>
        </w:rPr>
        <w:t xml:space="preserve">omes priekšsēdētājs </w:t>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00CC7B57" w:rsidRPr="00CC7B57">
        <w:rPr>
          <w:rFonts w:ascii="Times New Roman" w:hAnsi="Times New Roman" w:cs="Times New Roman"/>
          <w:sz w:val="26"/>
          <w:szCs w:val="26"/>
        </w:rPr>
        <w:t xml:space="preserve">V. </w:t>
      </w:r>
      <w:r>
        <w:rPr>
          <w:rFonts w:ascii="Times New Roman" w:hAnsi="Times New Roman" w:cs="Times New Roman"/>
          <w:sz w:val="26"/>
          <w:szCs w:val="26"/>
        </w:rPr>
        <w:t>Kleinbergs</w:t>
      </w:r>
    </w:p>
    <w:p w14:paraId="6267B39B" w14:textId="77777777" w:rsidR="00FA3E04" w:rsidRPr="00965DE1" w:rsidRDefault="00FA3E04" w:rsidP="00F10E25">
      <w:pPr>
        <w:spacing w:after="0" w:line="240" w:lineRule="auto"/>
        <w:rPr>
          <w:rFonts w:ascii="Times New Roman" w:hAnsi="Times New Roman" w:cs="Times New Roman"/>
          <w:sz w:val="26"/>
          <w:szCs w:val="26"/>
        </w:rPr>
      </w:pPr>
    </w:p>
    <w:sectPr w:rsidR="00FA3E04" w:rsidRPr="00965DE1" w:rsidSect="00472BCD">
      <w:headerReference w:type="default" r:id="rId7"/>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CDC8" w14:textId="77777777" w:rsidR="00AF5E76" w:rsidRDefault="00AF5E76">
      <w:pPr>
        <w:spacing w:after="0" w:line="240" w:lineRule="auto"/>
      </w:pPr>
      <w:r>
        <w:separator/>
      </w:r>
    </w:p>
  </w:endnote>
  <w:endnote w:type="continuationSeparator" w:id="0">
    <w:p w14:paraId="0C93A00D" w14:textId="77777777" w:rsidR="00AF5E76" w:rsidRDefault="00AF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A18E8" w14:textId="77777777" w:rsidR="00AF5E76" w:rsidRDefault="00AF5E76">
      <w:pPr>
        <w:spacing w:after="0" w:line="240" w:lineRule="auto"/>
      </w:pPr>
      <w:r>
        <w:separator/>
      </w:r>
    </w:p>
  </w:footnote>
  <w:footnote w:type="continuationSeparator" w:id="0">
    <w:p w14:paraId="3E5816BD" w14:textId="77777777" w:rsidR="00AF5E76" w:rsidRDefault="00AF5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561902"/>
      <w:docPartObj>
        <w:docPartGallery w:val="Page Numbers (Top of Page)"/>
        <w:docPartUnique/>
      </w:docPartObj>
    </w:sdtPr>
    <w:sdtEndPr>
      <w:rPr>
        <w:rFonts w:ascii="Times New Roman" w:hAnsi="Times New Roman" w:cs="Times New Roman"/>
        <w:sz w:val="26"/>
        <w:szCs w:val="26"/>
      </w:rPr>
    </w:sdtEndPr>
    <w:sdtContent>
      <w:p w14:paraId="226AE090" w14:textId="1E0A98AC" w:rsidR="00464AA1" w:rsidRPr="00464AA1" w:rsidRDefault="00AF5E76">
        <w:pPr>
          <w:pStyle w:val="Galvene"/>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C7F2C"/>
    <w:multiLevelType w:val="hybridMultilevel"/>
    <w:tmpl w:val="10E0C2A8"/>
    <w:lvl w:ilvl="0" w:tplc="E452E26C">
      <w:start w:val="1"/>
      <w:numFmt w:val="decimal"/>
      <w:lvlText w:val="%1."/>
      <w:lvlJc w:val="left"/>
      <w:pPr>
        <w:ind w:left="720" w:hanging="360"/>
      </w:pPr>
    </w:lvl>
    <w:lvl w:ilvl="1" w:tplc="DC589BE4">
      <w:start w:val="1"/>
      <w:numFmt w:val="lowerLetter"/>
      <w:lvlText w:val="%2."/>
      <w:lvlJc w:val="left"/>
      <w:pPr>
        <w:ind w:left="1440" w:hanging="360"/>
      </w:pPr>
    </w:lvl>
    <w:lvl w:ilvl="2" w:tplc="FAF8A4E8" w:tentative="1">
      <w:start w:val="1"/>
      <w:numFmt w:val="lowerRoman"/>
      <w:lvlText w:val="%3."/>
      <w:lvlJc w:val="right"/>
      <w:pPr>
        <w:ind w:left="2160" w:hanging="180"/>
      </w:pPr>
    </w:lvl>
    <w:lvl w:ilvl="3" w:tplc="CF62646A" w:tentative="1">
      <w:start w:val="1"/>
      <w:numFmt w:val="decimal"/>
      <w:lvlText w:val="%4."/>
      <w:lvlJc w:val="left"/>
      <w:pPr>
        <w:ind w:left="2880" w:hanging="360"/>
      </w:pPr>
    </w:lvl>
    <w:lvl w:ilvl="4" w:tplc="C3309842" w:tentative="1">
      <w:start w:val="1"/>
      <w:numFmt w:val="lowerLetter"/>
      <w:lvlText w:val="%5."/>
      <w:lvlJc w:val="left"/>
      <w:pPr>
        <w:ind w:left="3600" w:hanging="360"/>
      </w:pPr>
    </w:lvl>
    <w:lvl w:ilvl="5" w:tplc="BAC0CB72" w:tentative="1">
      <w:start w:val="1"/>
      <w:numFmt w:val="lowerRoman"/>
      <w:lvlText w:val="%6."/>
      <w:lvlJc w:val="right"/>
      <w:pPr>
        <w:ind w:left="4320" w:hanging="180"/>
      </w:pPr>
    </w:lvl>
    <w:lvl w:ilvl="6" w:tplc="71764C1A" w:tentative="1">
      <w:start w:val="1"/>
      <w:numFmt w:val="decimal"/>
      <w:lvlText w:val="%7."/>
      <w:lvlJc w:val="left"/>
      <w:pPr>
        <w:ind w:left="5040" w:hanging="360"/>
      </w:pPr>
    </w:lvl>
    <w:lvl w:ilvl="7" w:tplc="FC32BDBC" w:tentative="1">
      <w:start w:val="1"/>
      <w:numFmt w:val="lowerLetter"/>
      <w:lvlText w:val="%8."/>
      <w:lvlJc w:val="left"/>
      <w:pPr>
        <w:ind w:left="5760" w:hanging="360"/>
      </w:pPr>
    </w:lvl>
    <w:lvl w:ilvl="8" w:tplc="55C6EF90" w:tentative="1">
      <w:start w:val="1"/>
      <w:numFmt w:val="lowerRoman"/>
      <w:lvlText w:val="%9."/>
      <w:lvlJc w:val="right"/>
      <w:pPr>
        <w:ind w:left="6480" w:hanging="180"/>
      </w:pPr>
    </w:lvl>
  </w:abstractNum>
  <w:abstractNum w:abstractNumId="1" w15:restartNumberingAfterBreak="0">
    <w:nsid w:val="7E5A0C1E"/>
    <w:multiLevelType w:val="hybridMultilevel"/>
    <w:tmpl w:val="20B2CA22"/>
    <w:lvl w:ilvl="0" w:tplc="4FC81AC0">
      <w:start w:val="1"/>
      <w:numFmt w:val="decimal"/>
      <w:lvlText w:val="%1."/>
      <w:lvlJc w:val="left"/>
      <w:pPr>
        <w:ind w:left="720" w:hanging="360"/>
      </w:pPr>
      <w:rPr>
        <w:rFonts w:hint="default"/>
      </w:rPr>
    </w:lvl>
    <w:lvl w:ilvl="1" w:tplc="BC22DAF8" w:tentative="1">
      <w:start w:val="1"/>
      <w:numFmt w:val="lowerLetter"/>
      <w:lvlText w:val="%2."/>
      <w:lvlJc w:val="left"/>
      <w:pPr>
        <w:ind w:left="1440" w:hanging="360"/>
      </w:pPr>
    </w:lvl>
    <w:lvl w:ilvl="2" w:tplc="DA2EC77C" w:tentative="1">
      <w:start w:val="1"/>
      <w:numFmt w:val="lowerRoman"/>
      <w:lvlText w:val="%3."/>
      <w:lvlJc w:val="right"/>
      <w:pPr>
        <w:ind w:left="2160" w:hanging="180"/>
      </w:pPr>
    </w:lvl>
    <w:lvl w:ilvl="3" w:tplc="8BBAD8EC" w:tentative="1">
      <w:start w:val="1"/>
      <w:numFmt w:val="decimal"/>
      <w:lvlText w:val="%4."/>
      <w:lvlJc w:val="left"/>
      <w:pPr>
        <w:ind w:left="2880" w:hanging="360"/>
      </w:pPr>
    </w:lvl>
    <w:lvl w:ilvl="4" w:tplc="4CE421B4" w:tentative="1">
      <w:start w:val="1"/>
      <w:numFmt w:val="lowerLetter"/>
      <w:lvlText w:val="%5."/>
      <w:lvlJc w:val="left"/>
      <w:pPr>
        <w:ind w:left="3600" w:hanging="360"/>
      </w:pPr>
    </w:lvl>
    <w:lvl w:ilvl="5" w:tplc="39C214F0" w:tentative="1">
      <w:start w:val="1"/>
      <w:numFmt w:val="lowerRoman"/>
      <w:lvlText w:val="%6."/>
      <w:lvlJc w:val="right"/>
      <w:pPr>
        <w:ind w:left="4320" w:hanging="180"/>
      </w:pPr>
    </w:lvl>
    <w:lvl w:ilvl="6" w:tplc="8256C6AA" w:tentative="1">
      <w:start w:val="1"/>
      <w:numFmt w:val="decimal"/>
      <w:lvlText w:val="%7."/>
      <w:lvlJc w:val="left"/>
      <w:pPr>
        <w:ind w:left="5040" w:hanging="360"/>
      </w:pPr>
    </w:lvl>
    <w:lvl w:ilvl="7" w:tplc="129C394A" w:tentative="1">
      <w:start w:val="1"/>
      <w:numFmt w:val="lowerLetter"/>
      <w:lvlText w:val="%8."/>
      <w:lvlJc w:val="left"/>
      <w:pPr>
        <w:ind w:left="5760" w:hanging="360"/>
      </w:pPr>
    </w:lvl>
    <w:lvl w:ilvl="8" w:tplc="5B263E8A" w:tentative="1">
      <w:start w:val="1"/>
      <w:numFmt w:val="lowerRoman"/>
      <w:lvlText w:val="%9."/>
      <w:lvlJc w:val="right"/>
      <w:pPr>
        <w:ind w:left="6480" w:hanging="180"/>
      </w:pPr>
    </w:lvl>
  </w:abstractNum>
  <w:num w:numId="1" w16cid:durableId="1581334406">
    <w:abstractNumId w:val="1"/>
  </w:num>
  <w:num w:numId="2" w16cid:durableId="48798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76754"/>
    <w:rsid w:val="00156D0B"/>
    <w:rsid w:val="001A4A24"/>
    <w:rsid w:val="001D730F"/>
    <w:rsid w:val="001F3C4F"/>
    <w:rsid w:val="00271D86"/>
    <w:rsid w:val="002F56BC"/>
    <w:rsid w:val="003D1D7D"/>
    <w:rsid w:val="00444237"/>
    <w:rsid w:val="00464AA1"/>
    <w:rsid w:val="00472BCD"/>
    <w:rsid w:val="004E17DC"/>
    <w:rsid w:val="004E403B"/>
    <w:rsid w:val="004E582F"/>
    <w:rsid w:val="004F10BC"/>
    <w:rsid w:val="00620E84"/>
    <w:rsid w:val="00641B27"/>
    <w:rsid w:val="00751899"/>
    <w:rsid w:val="007752F6"/>
    <w:rsid w:val="007D3E66"/>
    <w:rsid w:val="008A2758"/>
    <w:rsid w:val="008C5041"/>
    <w:rsid w:val="008F7581"/>
    <w:rsid w:val="00965DE1"/>
    <w:rsid w:val="00967F18"/>
    <w:rsid w:val="009B1553"/>
    <w:rsid w:val="009C1D24"/>
    <w:rsid w:val="009D76E9"/>
    <w:rsid w:val="009F2570"/>
    <w:rsid w:val="00A104BA"/>
    <w:rsid w:val="00A20404"/>
    <w:rsid w:val="00AB3A9C"/>
    <w:rsid w:val="00AF5E76"/>
    <w:rsid w:val="00B350B5"/>
    <w:rsid w:val="00B44CB7"/>
    <w:rsid w:val="00BA7718"/>
    <w:rsid w:val="00BD33E3"/>
    <w:rsid w:val="00C0753C"/>
    <w:rsid w:val="00CC4BA3"/>
    <w:rsid w:val="00CC7B57"/>
    <w:rsid w:val="00CD5B22"/>
    <w:rsid w:val="00D865F3"/>
    <w:rsid w:val="00D957B6"/>
    <w:rsid w:val="00DF4C83"/>
    <w:rsid w:val="00E4791C"/>
    <w:rsid w:val="00F04A74"/>
    <w:rsid w:val="00F10E25"/>
    <w:rsid w:val="00FA3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5773</Words>
  <Characters>3292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Anna Eisaka</cp:lastModifiedBy>
  <cp:revision>16</cp:revision>
  <dcterms:created xsi:type="dcterms:W3CDTF">2024-03-07T12:57:00Z</dcterms:created>
  <dcterms:modified xsi:type="dcterms:W3CDTF">2025-09-09T12:36:00Z</dcterms:modified>
</cp:coreProperties>
</file>