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699" w14:textId="77777777" w:rsidR="00965DE1" w:rsidRPr="00965DE1" w:rsidRDefault="00000000" w:rsidP="00965DE1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65DE1">
        <w:rPr>
          <w:rFonts w:ascii="Times New Roman" w:hAnsi="Times New Roman" w:cs="Times New Roman"/>
          <w:b/>
          <w:noProof/>
          <w:sz w:val="26"/>
          <w:szCs w:val="26"/>
        </w:rPr>
        <w:t xml:space="preserve">Paskaidrojuma raksts </w:t>
      </w:r>
    </w:p>
    <w:p w14:paraId="773119E8" w14:textId="482C4FEA" w:rsidR="00965DE1" w:rsidRDefault="00000000" w:rsidP="00702DF2">
      <w:pPr>
        <w:spacing w:after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965DE1">
        <w:rPr>
          <w:rFonts w:ascii="Times New Roman" w:hAnsi="Times New Roman" w:cs="Times New Roman"/>
          <w:b/>
          <w:bCs/>
          <w:noProof/>
          <w:sz w:val="26"/>
          <w:szCs w:val="26"/>
        </w:rPr>
        <w:t>Rīgas domes 2025.</w:t>
      </w:r>
      <w:r w:rsidR="00702DF2">
        <w:rPr>
          <w:rFonts w:ascii="Times New Roman" w:hAnsi="Times New Roman" w:cs="Times New Roman"/>
          <w:b/>
          <w:bCs/>
          <w:noProof/>
          <w:sz w:val="26"/>
          <w:szCs w:val="26"/>
        </w:rPr>
        <w:t> </w:t>
      </w:r>
      <w:r w:rsidRPr="00965DE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gada </w:t>
      </w:r>
      <w:r w:rsidR="00702DF2">
        <w:rPr>
          <w:rFonts w:ascii="Times New Roman" w:hAnsi="Times New Roman" w:cs="Times New Roman"/>
          <w:b/>
          <w:bCs/>
          <w:noProof/>
          <w:sz w:val="26"/>
          <w:szCs w:val="26"/>
        </w:rPr>
        <w:t>___. _________</w:t>
      </w:r>
      <w:r w:rsidRPr="00965DE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saistošajiem noteikumiem Nr. RD-25-</w:t>
      </w:r>
      <w:r w:rsidR="00702DF2">
        <w:rPr>
          <w:rFonts w:ascii="Times New Roman" w:hAnsi="Times New Roman" w:cs="Times New Roman"/>
          <w:b/>
          <w:bCs/>
          <w:noProof/>
          <w:sz w:val="26"/>
          <w:szCs w:val="26"/>
        </w:rPr>
        <w:t>_____</w:t>
      </w:r>
      <w:r w:rsidRPr="00965DE1">
        <w:rPr>
          <w:rFonts w:ascii="Times New Roman" w:hAnsi="Times New Roman" w:cs="Times New Roman"/>
          <w:b/>
          <w:bCs/>
          <w:noProof/>
          <w:sz w:val="26"/>
          <w:szCs w:val="26"/>
        </w:rPr>
        <w:t>-sn</w:t>
      </w:r>
    </w:p>
    <w:p w14:paraId="7F22D278" w14:textId="77777777" w:rsidR="00702DF2" w:rsidRPr="00702DF2" w:rsidRDefault="00000000" w:rsidP="00702DF2">
      <w:pPr>
        <w:spacing w:after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“</w:t>
      </w:r>
      <w:r w:rsidR="00702DF2" w:rsidRPr="00702DF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Par Rīgas valstspilsētas pašvaldības aģentūras “Rīgas enerģētikas aģentūra” </w:t>
      </w:r>
    </w:p>
    <w:p w14:paraId="31BBE2ED" w14:textId="75F14711" w:rsidR="004E17DC" w:rsidRDefault="00702DF2" w:rsidP="00702DF2">
      <w:pPr>
        <w:spacing w:after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702DF2">
        <w:rPr>
          <w:rFonts w:ascii="Times New Roman" w:hAnsi="Times New Roman" w:cs="Times New Roman"/>
          <w:b/>
          <w:bCs/>
          <w:noProof/>
          <w:sz w:val="26"/>
          <w:szCs w:val="26"/>
        </w:rPr>
        <w:t>maksas pakalpojumiem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”</w:t>
      </w:r>
    </w:p>
    <w:p w14:paraId="21E2FE18" w14:textId="25D657AA" w:rsidR="00A279EF" w:rsidRPr="00A279EF" w:rsidRDefault="00A279EF" w:rsidP="00702DF2">
      <w:pPr>
        <w:spacing w:after="0"/>
        <w:jc w:val="center"/>
        <w:rPr>
          <w:rFonts w:ascii="Times New Roman" w:hAnsi="Times New Roman" w:cs="Times New Roman"/>
          <w:i/>
          <w:iCs/>
          <w:noProof/>
          <w:sz w:val="26"/>
          <w:szCs w:val="26"/>
        </w:rPr>
      </w:pPr>
      <w:r w:rsidRPr="00A279EF">
        <w:rPr>
          <w:rFonts w:ascii="Times New Roman" w:hAnsi="Times New Roman" w:cs="Times New Roman"/>
          <w:i/>
          <w:iCs/>
          <w:noProof/>
          <w:sz w:val="26"/>
          <w:szCs w:val="26"/>
        </w:rPr>
        <w:t>(projekts)</w:t>
      </w:r>
    </w:p>
    <w:p w14:paraId="0FFD6B80" w14:textId="77777777" w:rsidR="00464AA1" w:rsidRPr="00965DE1" w:rsidRDefault="00464AA1" w:rsidP="00F1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4AA9" w14:paraId="232811A1" w14:textId="77777777" w:rsidTr="00FD0909">
        <w:trPr>
          <w:trHeight w:val="654"/>
        </w:trPr>
        <w:tc>
          <w:tcPr>
            <w:tcW w:w="9634" w:type="dxa"/>
            <w:shd w:val="clear" w:color="auto" w:fill="auto"/>
          </w:tcPr>
          <w:p w14:paraId="0811D955" w14:textId="77777777" w:rsidR="007752F6" w:rsidRPr="00E4791C" w:rsidRDefault="00000000" w:rsidP="00850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1. Mērķi un nepieciešamības pamatojums, tostarp raksturojot iespējamās alternatīvas, kas neparedz tiesiskā regulējuma izstrādi</w:t>
            </w:r>
          </w:p>
          <w:p w14:paraId="689379F4" w14:textId="77777777" w:rsidR="00E03154" w:rsidRPr="00702DF2" w:rsidRDefault="00E03154" w:rsidP="00850660">
            <w:pPr>
              <w:ind w:firstLine="742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Publisko aģentūru likuma 17. panta ceturtajā daļā noteikts, ka pašvaldības aģentūras sniegtos maksas pakalpojumus nosaka un to cenrādi apstiprina ar pašvaldības saistošajiem noteikumiem. </w:t>
            </w:r>
          </w:p>
          <w:p w14:paraId="431DE510" w14:textId="5F0734DA" w:rsidR="00D865F3" w:rsidRDefault="00702DF2" w:rsidP="00850660">
            <w:pPr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746">
              <w:rPr>
                <w:rFonts w:ascii="Times New Roman" w:hAnsi="Times New Roman" w:cs="Times New Roman"/>
                <w:sz w:val="26"/>
                <w:szCs w:val="26"/>
              </w:rPr>
              <w:t>Saistošie noteikumi</w:t>
            </w:r>
            <w:r w:rsidRPr="00702DF2">
              <w:rPr>
                <w:rFonts w:ascii="Times New Roman" w:hAnsi="Times New Roman" w:cs="Times New Roman"/>
                <w:sz w:val="26"/>
                <w:szCs w:val="26"/>
              </w:rPr>
              <w:t xml:space="preserve"> nosaka Rīgas valstspilsētas pašvaldības aģentūras </w:t>
            </w:r>
            <w:r w:rsidR="00805746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02DF2">
              <w:rPr>
                <w:rFonts w:ascii="Times New Roman" w:hAnsi="Times New Roman" w:cs="Times New Roman"/>
                <w:sz w:val="26"/>
                <w:szCs w:val="26"/>
              </w:rPr>
              <w:t>Rīgas enerģētikas aģentūra</w:t>
            </w:r>
            <w:r w:rsidR="0080574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702DF2">
              <w:rPr>
                <w:rFonts w:ascii="Times New Roman" w:hAnsi="Times New Roman" w:cs="Times New Roman"/>
                <w:sz w:val="26"/>
                <w:szCs w:val="26"/>
              </w:rPr>
              <w:t xml:space="preserve"> (turpmāk – Aģentūra) sniegtos maksas pakalpojumus saskaņā ar cenrādi</w:t>
            </w:r>
            <w:r w:rsidR="00805746">
              <w:rPr>
                <w:rFonts w:ascii="Times New Roman" w:hAnsi="Times New Roman" w:cs="Times New Roman"/>
                <w:sz w:val="26"/>
                <w:szCs w:val="26"/>
              </w:rPr>
              <w:t xml:space="preserve">, kas ir aktualizēts </w:t>
            </w:r>
            <w:r w:rsidRPr="00702DF2">
              <w:rPr>
                <w:rFonts w:ascii="Times New Roman" w:hAnsi="Times New Roman" w:cs="Times New Roman"/>
                <w:sz w:val="26"/>
                <w:szCs w:val="26"/>
              </w:rPr>
              <w:t xml:space="preserve">atbilstoši </w:t>
            </w:r>
            <w:r w:rsidR="00805746">
              <w:rPr>
                <w:rFonts w:ascii="Times New Roman" w:hAnsi="Times New Roman" w:cs="Times New Roman"/>
                <w:sz w:val="26"/>
                <w:szCs w:val="26"/>
              </w:rPr>
              <w:t>faktiskajai situācijai, A</w:t>
            </w:r>
            <w:r w:rsidRPr="00702DF2">
              <w:rPr>
                <w:rFonts w:ascii="Times New Roman" w:hAnsi="Times New Roman" w:cs="Times New Roman"/>
                <w:sz w:val="26"/>
                <w:szCs w:val="26"/>
              </w:rPr>
              <w:t>ģentūras darbības virzieniem un mērķiem</w:t>
            </w:r>
            <w:r w:rsidR="00B472F7">
              <w:rPr>
                <w:rFonts w:ascii="Times New Roman" w:hAnsi="Times New Roman" w:cs="Times New Roman"/>
                <w:sz w:val="26"/>
                <w:szCs w:val="26"/>
              </w:rPr>
              <w:t xml:space="preserve">, nosakot šādus maksas pakalpojumus: </w:t>
            </w:r>
          </w:p>
          <w:p w14:paraId="276FFDA3" w14:textId="725DFE35" w:rsidR="00702DF2" w:rsidRPr="00702DF2" w:rsidRDefault="00702DF2" w:rsidP="00850660">
            <w:pPr>
              <w:numPr>
                <w:ilvl w:val="0"/>
                <w:numId w:val="4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apmācības energoefektivitātes jautājumos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 t.i.,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pēc juridiskas personas pieprasījuma 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nodrošin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ā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 apmācības (semināri, konferences u.c.), kurās Aģentūras darbinieku kopējais uzstāšanās laiks ir ilgāks par 30 min, neatkarīgi no </w:t>
            </w:r>
            <w:r w:rsid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apmācību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rīkošanas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vietas (Rīgas </w:t>
            </w:r>
            <w:r w:rsid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valstspilsētas </w:t>
            </w:r>
            <w:r w:rsidR="00B472F7"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pašvaldība</w:t>
            </w:r>
            <w:r w:rsid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 teritorijā 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vai ārpus tās);</w:t>
            </w:r>
          </w:p>
          <w:p w14:paraId="0E6222B8" w14:textId="163925E2" w:rsidR="00702DF2" w:rsidRPr="00702DF2" w:rsidRDefault="00702DF2" w:rsidP="00850660">
            <w:pPr>
              <w:numPr>
                <w:ilvl w:val="0"/>
                <w:numId w:val="4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projektu pieteikumu sagatavošana enerģētikas jomā, 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t.i., pēc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juridiskas personas 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pieprasījum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sagatavot projekta pieteikumu kādā konkrētā programmā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(piemēram, </w:t>
            </w:r>
            <w:r w:rsidR="00D95198" w:rsidRP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Horizon Europe, Interreg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u.c.)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ar 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šīs personas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dalību</w:t>
            </w:r>
            <w:r w:rsidR="00D951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;</w:t>
            </w:r>
            <w:r w:rsidRPr="00702D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6C88049C" w14:textId="17177250" w:rsidR="00702DF2" w:rsidRPr="00B472F7" w:rsidRDefault="00D94539" w:rsidP="00850660">
            <w:pPr>
              <w:numPr>
                <w:ilvl w:val="0"/>
                <w:numId w:val="4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</w:t>
            </w:r>
            <w:r w:rsidR="00702DF2" w:rsidRP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ģentūras rīcībā esošo datu kopu atlase un izsniegšana, ja papildus publiski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pieejamiem (</w:t>
            </w:r>
            <w:r w:rsidR="00702DF2" w:rsidRP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publicē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</w:t>
            </w:r>
            <w:r w:rsidR="00702DF2" w:rsidRP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iem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)</w:t>
            </w:r>
            <w:r w:rsidR="00702DF2" w:rsidRP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datiem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fiziska vai juridiska persona vēlas</w:t>
            </w:r>
            <w:r w:rsidR="00702DF2" w:rsidRP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saņemt apstrādātus vai kādā citā veidā rediģētus datus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 kas ir saistīti ar Aģentūras darbības jomām</w:t>
            </w:r>
            <w:r w:rsidR="00702DF2" w:rsidRPr="00B472F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2FCB3E76" w14:textId="786BD7EB" w:rsidR="00702DF2" w:rsidRPr="00E4791C" w:rsidRDefault="00B472F7" w:rsidP="0085066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B472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Iespējamā alternatīva, kas neparedz tiesiskā regulējuma izstrādi, – nav.</w:t>
            </w:r>
          </w:p>
        </w:tc>
      </w:tr>
      <w:tr w:rsidR="00BE4AA9" w14:paraId="6D42250A" w14:textId="77777777" w:rsidTr="00FD0909">
        <w:tc>
          <w:tcPr>
            <w:tcW w:w="9634" w:type="dxa"/>
          </w:tcPr>
          <w:p w14:paraId="53392262" w14:textId="77777777" w:rsidR="007752F6" w:rsidRPr="00E4791C" w:rsidRDefault="00000000" w:rsidP="00850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2. Fiskālā ietekme uz pašvaldības budžetu, iekļaujot attiecīgus aprēķinus</w:t>
            </w:r>
          </w:p>
          <w:p w14:paraId="51E8DBB9" w14:textId="46CD2811" w:rsidR="00D865F3" w:rsidRPr="00E4791C" w:rsidRDefault="000A3EDF" w:rsidP="0085066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Saistošo noteikumu īstenošanas fiskālās ietekmes prognoze uz pašvaldības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un Aģentūras</w:t>
            </w:r>
            <w:r w:rsidRPr="000A3E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budžetu paredz ieņēmumu palielināšanos, jo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</w:t>
            </w:r>
            <w:r w:rsidR="00702DF2"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rognozē</w:t>
            </w:r>
            <w:r w:rsidR="00464F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jamie</w:t>
            </w:r>
            <w:r w:rsidR="00702DF2"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ieņēmumi no pakalpojum</w:t>
            </w:r>
            <w:r w:rsidR="00464F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iem ir 5000</w:t>
            </w:r>
            <w:r w:rsidR="009446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 </w:t>
            </w:r>
            <w:proofErr w:type="spellStart"/>
            <w:r w:rsidR="00464F88" w:rsidRPr="00464F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lv-LV"/>
              </w:rPr>
              <w:t>euro</w:t>
            </w:r>
            <w:proofErr w:type="spellEnd"/>
            <w:r w:rsidR="00702DF2"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="00464F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gadā (bez PVN), ko plānots </w:t>
            </w:r>
            <w:r w:rsidR="00702DF2"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izlietot atbilstoši Aģentūras apstiprinātai tāmei ar pakalpojumu sniegšanu saistītu izdevumu samaksai un darbinieku atalgojumam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.</w:t>
            </w:r>
          </w:p>
        </w:tc>
      </w:tr>
      <w:tr w:rsidR="00BE4AA9" w14:paraId="46E78DB0" w14:textId="77777777" w:rsidTr="00FD0909">
        <w:tc>
          <w:tcPr>
            <w:tcW w:w="9634" w:type="dxa"/>
          </w:tcPr>
          <w:p w14:paraId="1D93F2DC" w14:textId="77777777" w:rsidR="007752F6" w:rsidRPr="00E4791C" w:rsidRDefault="00000000" w:rsidP="00850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</w:t>
            </w:r>
          </w:p>
          <w:p w14:paraId="4FD8B012" w14:textId="6B075203" w:rsidR="00D865F3" w:rsidRPr="00E4791C" w:rsidRDefault="00464F88" w:rsidP="0085066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464F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Saistošajiem noteikumiem nav tieša sociālā ietekme, kā arī ietekme uz iedzīvotāju veselību, uzņēmējdarbības vidi pašvaldības teritorijā un konkurenci.</w:t>
            </w:r>
          </w:p>
        </w:tc>
      </w:tr>
      <w:tr w:rsidR="00BE4AA9" w14:paraId="1BADD056" w14:textId="77777777" w:rsidTr="00FD0909">
        <w:tc>
          <w:tcPr>
            <w:tcW w:w="9634" w:type="dxa"/>
          </w:tcPr>
          <w:p w14:paraId="3C336909" w14:textId="77777777" w:rsidR="007752F6" w:rsidRPr="00E4791C" w:rsidRDefault="00000000" w:rsidP="008506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4. Ietekme uz administratīvajām procedūrām un to izmaksām gan attiecībā uz saimnieciskās darbības veicējiem, gan fiziskajām personām un nevalstiskā sektora organizācijām, gan budžeta finansētām institūcijām</w:t>
            </w:r>
          </w:p>
          <w:p w14:paraId="1B515EC8" w14:textId="27AE6002" w:rsidR="00D865F3" w:rsidRPr="00E4791C" w:rsidRDefault="006968DD" w:rsidP="0085066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6968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Administratīvās procedūras netiek mainītas. Saistošo noteikumu izpildi nodrošinās Aģentūra. Saistošo noteikumu izpilde neietekmēs līdzšinējo Aģentūras funkciju un uzdevumu izpildi.</w:t>
            </w:r>
          </w:p>
        </w:tc>
      </w:tr>
      <w:tr w:rsidR="00BE4AA9" w14:paraId="279B6179" w14:textId="77777777" w:rsidTr="00FD0909">
        <w:tc>
          <w:tcPr>
            <w:tcW w:w="9634" w:type="dxa"/>
          </w:tcPr>
          <w:p w14:paraId="761E3720" w14:textId="77777777" w:rsidR="007752F6" w:rsidRPr="00E4791C" w:rsidRDefault="00000000" w:rsidP="008506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5. Ietekme uz pašvaldības funkcijām un cilvēkresursiem</w:t>
            </w:r>
          </w:p>
          <w:p w14:paraId="0035B633" w14:textId="1154C1EB" w:rsidR="006968DD" w:rsidRPr="00E4791C" w:rsidRDefault="00702DF2" w:rsidP="00850660">
            <w:pPr>
              <w:shd w:val="clear" w:color="auto" w:fill="FFFFFF"/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BE4AA9" w14:paraId="59B4613B" w14:textId="77777777" w:rsidTr="00FD0909">
        <w:tc>
          <w:tcPr>
            <w:tcW w:w="9634" w:type="dxa"/>
          </w:tcPr>
          <w:p w14:paraId="0EF7397A" w14:textId="77777777" w:rsidR="007752F6" w:rsidRPr="00E4791C" w:rsidRDefault="00000000" w:rsidP="008506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lastRenderedPageBreak/>
              <w:t>6. Izpildes nodrošināšana</w:t>
            </w:r>
          </w:p>
          <w:p w14:paraId="3D64A901" w14:textId="6126B787" w:rsidR="00D865F3" w:rsidRPr="00E4791C" w:rsidRDefault="00702DF2" w:rsidP="00850660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Saistošo noteikumu izpildi savas kompetences ietvaros nodrošinās </w:t>
            </w:r>
            <w:r w:rsidR="00464F88" w:rsidRPr="00805746">
              <w:rPr>
                <w:rFonts w:ascii="Times New Roman" w:hAnsi="Times New Roman" w:cs="Times New Roman"/>
                <w:sz w:val="26"/>
                <w:szCs w:val="26"/>
              </w:rPr>
              <w:t>Rīgas valstspilsētas pašvaldības aģentūras “Rīgas enerģētikas aģentūra”</w:t>
            </w:r>
            <w:r w:rsidR="00464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4AA9" w14:paraId="30D33ADF" w14:textId="77777777" w:rsidTr="00FD0909">
        <w:tc>
          <w:tcPr>
            <w:tcW w:w="9634" w:type="dxa"/>
          </w:tcPr>
          <w:p w14:paraId="7802F46A" w14:textId="77777777" w:rsidR="007752F6" w:rsidRPr="00E4791C" w:rsidRDefault="00000000" w:rsidP="008506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7. Prasību un izmaksu samērīgums pret ieguvumiem, ko sniedz mērķa sasniegšana</w:t>
            </w:r>
          </w:p>
          <w:p w14:paraId="24677A80" w14:textId="2BC9DBF8" w:rsidR="00D865F3" w:rsidRPr="00E56D79" w:rsidRDefault="00702DF2" w:rsidP="00850660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Saistošie noteikumi ir atbilstoši iecerētā mērķa sasniegšanai – noteikt maksas pakalpojumu cenas pakalpojumiem, ko sniedz </w:t>
            </w:r>
            <w:r w:rsidR="00464F88" w:rsidRPr="00464F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Rīgas valstspilsētas pašvaldības aģentūras “Rīgas enerģētikas aģentūra”</w:t>
            </w:r>
            <w:r w:rsidRPr="00702D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, tādējādi sabalansējot izdevumus un ieņēmumus.</w:t>
            </w:r>
          </w:p>
        </w:tc>
      </w:tr>
      <w:tr w:rsidR="00BE4AA9" w14:paraId="09636224" w14:textId="77777777" w:rsidTr="00FD0909">
        <w:tc>
          <w:tcPr>
            <w:tcW w:w="9634" w:type="dxa"/>
          </w:tcPr>
          <w:p w14:paraId="32864398" w14:textId="77777777" w:rsidR="007752F6" w:rsidRPr="00E4791C" w:rsidRDefault="00000000" w:rsidP="008506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8. Izstrādes gaitā veiktās konsultācijas ar privātpersonām un institūcijām, tostarp sabiedrības viedokļa noskaidrošanā gūtā informācija</w:t>
            </w:r>
          </w:p>
          <w:p w14:paraId="63DBFC1A" w14:textId="10E0E81A" w:rsidR="00D865F3" w:rsidRPr="00E4791C" w:rsidRDefault="00A279EF" w:rsidP="00850660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bookmarkStart w:id="0" w:name="_Hlk198630594"/>
            <w:r w:rsidRPr="00A279EF">
              <w:rPr>
                <w:rFonts w:ascii="Times New Roman" w:hAnsi="Times New Roman" w:cs="Times New Roman"/>
                <w:sz w:val="26"/>
                <w:szCs w:val="26"/>
              </w:rPr>
              <w:t>Atbilstoši Pašvaldību likuma 46.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279EF">
              <w:rPr>
                <w:rFonts w:ascii="Times New Roman" w:hAnsi="Times New Roman" w:cs="Times New Roman"/>
                <w:sz w:val="26"/>
                <w:szCs w:val="26"/>
              </w:rPr>
              <w:t xml:space="preserve">panta trešajai daļai saistošo noteikumu projekts un tam pievienotais paskaidrojuma raksts sabiedrības viedokļa noskaidrošanai </w:t>
            </w:r>
            <w:bookmarkEnd w:id="0"/>
            <w:r w:rsidRPr="000D7A08">
              <w:rPr>
                <w:rFonts w:ascii="Times New Roman" w:hAnsi="Times New Roman" w:cs="Times New Roman"/>
                <w:sz w:val="26"/>
                <w:szCs w:val="26"/>
              </w:rPr>
              <w:t>no 2025.</w:t>
            </w:r>
            <w:r w:rsidR="00BE5C6E" w:rsidRPr="000D7A0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A08">
              <w:rPr>
                <w:rFonts w:ascii="Times New Roman" w:hAnsi="Times New Roman" w:cs="Times New Roman"/>
                <w:sz w:val="26"/>
                <w:szCs w:val="26"/>
              </w:rPr>
              <w:t xml:space="preserve">gada </w:t>
            </w:r>
            <w:r w:rsidR="00BE5C6E" w:rsidRPr="000D7A08">
              <w:rPr>
                <w:rFonts w:ascii="Times New Roman" w:hAnsi="Times New Roman" w:cs="Times New Roman"/>
                <w:sz w:val="26"/>
                <w:szCs w:val="26"/>
              </w:rPr>
              <w:t>___. </w:t>
            </w:r>
            <w:r w:rsidRPr="000D7A08">
              <w:rPr>
                <w:rFonts w:ascii="Times New Roman" w:hAnsi="Times New Roman" w:cs="Times New Roman"/>
                <w:sz w:val="26"/>
                <w:szCs w:val="26"/>
              </w:rPr>
              <w:t>maija līdz 2025.</w:t>
            </w:r>
            <w:r w:rsidR="00BE5C6E" w:rsidRPr="000D7A0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A08">
              <w:rPr>
                <w:rFonts w:ascii="Times New Roman" w:hAnsi="Times New Roman" w:cs="Times New Roman"/>
                <w:sz w:val="26"/>
                <w:szCs w:val="26"/>
              </w:rPr>
              <w:t xml:space="preserve">gada </w:t>
            </w:r>
            <w:r w:rsidR="00BE5C6E" w:rsidRPr="000D7A08">
              <w:rPr>
                <w:rFonts w:ascii="Times New Roman" w:hAnsi="Times New Roman" w:cs="Times New Roman"/>
                <w:sz w:val="26"/>
                <w:szCs w:val="26"/>
              </w:rPr>
              <w:t>___. jūnijam</w:t>
            </w:r>
            <w:r w:rsidRPr="00A279EF">
              <w:rPr>
                <w:rFonts w:ascii="Times New Roman" w:hAnsi="Times New Roman" w:cs="Times New Roman"/>
                <w:sz w:val="26"/>
                <w:szCs w:val="26"/>
              </w:rPr>
              <w:t xml:space="preserve"> tika publicēts Rīgas valstspilsētas pašvaldības tīmekļvietnē www.riga.lv.</w:t>
            </w:r>
          </w:p>
        </w:tc>
      </w:tr>
    </w:tbl>
    <w:p w14:paraId="44B8B9BF" w14:textId="77777777" w:rsidR="00D865F3" w:rsidRPr="00965DE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865F3" w:rsidRPr="00965DE1" w:rsidSect="00494412">
      <w:headerReference w:type="default" r:id="rId8"/>
      <w:footerReference w:type="firs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FA8D" w14:textId="77777777" w:rsidR="006E6AA4" w:rsidRDefault="006E6AA4">
      <w:pPr>
        <w:spacing w:after="0" w:line="240" w:lineRule="auto"/>
      </w:pPr>
      <w:r>
        <w:separator/>
      </w:r>
    </w:p>
  </w:endnote>
  <w:endnote w:type="continuationSeparator" w:id="0">
    <w:p w14:paraId="3A330985" w14:textId="77777777" w:rsidR="006E6AA4" w:rsidRDefault="006E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CBFE" w14:textId="77777777" w:rsidR="000A7C5E" w:rsidRDefault="000A7C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F45C" w14:textId="77777777" w:rsidR="006E6AA4" w:rsidRDefault="006E6AA4">
      <w:pPr>
        <w:spacing w:after="0" w:line="240" w:lineRule="auto"/>
      </w:pPr>
      <w:r>
        <w:separator/>
      </w:r>
    </w:p>
  </w:footnote>
  <w:footnote w:type="continuationSeparator" w:id="0">
    <w:p w14:paraId="799866CE" w14:textId="77777777" w:rsidR="006E6AA4" w:rsidRDefault="006E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561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375D229" w14:textId="77777777" w:rsidR="00464AA1" w:rsidRPr="00464AA1" w:rsidRDefault="0000000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64AA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64AA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64AA1">
          <w:rPr>
            <w:rFonts w:ascii="Times New Roman" w:hAnsi="Times New Roman" w:cs="Times New Roman"/>
            <w:sz w:val="26"/>
            <w:szCs w:val="26"/>
          </w:rPr>
          <w:t>2</w: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A0C5733" w14:textId="77777777" w:rsidR="00464AA1" w:rsidRDefault="00464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94B"/>
    <w:multiLevelType w:val="hybridMultilevel"/>
    <w:tmpl w:val="5B367FD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7F2C"/>
    <w:multiLevelType w:val="hybridMultilevel"/>
    <w:tmpl w:val="10E0C2A8"/>
    <w:lvl w:ilvl="0" w:tplc="00F2C472">
      <w:start w:val="1"/>
      <w:numFmt w:val="decimal"/>
      <w:lvlText w:val="%1."/>
      <w:lvlJc w:val="left"/>
      <w:pPr>
        <w:ind w:left="720" w:hanging="360"/>
      </w:pPr>
    </w:lvl>
    <w:lvl w:ilvl="1" w:tplc="FABA7082">
      <w:start w:val="1"/>
      <w:numFmt w:val="lowerLetter"/>
      <w:lvlText w:val="%2."/>
      <w:lvlJc w:val="left"/>
      <w:pPr>
        <w:ind w:left="1440" w:hanging="360"/>
      </w:pPr>
    </w:lvl>
    <w:lvl w:ilvl="2" w:tplc="B0844634" w:tentative="1">
      <w:start w:val="1"/>
      <w:numFmt w:val="lowerRoman"/>
      <w:lvlText w:val="%3."/>
      <w:lvlJc w:val="right"/>
      <w:pPr>
        <w:ind w:left="2160" w:hanging="180"/>
      </w:pPr>
    </w:lvl>
    <w:lvl w:ilvl="3" w:tplc="B734D8AE" w:tentative="1">
      <w:start w:val="1"/>
      <w:numFmt w:val="decimal"/>
      <w:lvlText w:val="%4."/>
      <w:lvlJc w:val="left"/>
      <w:pPr>
        <w:ind w:left="2880" w:hanging="360"/>
      </w:pPr>
    </w:lvl>
    <w:lvl w:ilvl="4" w:tplc="06983C44" w:tentative="1">
      <w:start w:val="1"/>
      <w:numFmt w:val="lowerLetter"/>
      <w:lvlText w:val="%5."/>
      <w:lvlJc w:val="left"/>
      <w:pPr>
        <w:ind w:left="3600" w:hanging="360"/>
      </w:pPr>
    </w:lvl>
    <w:lvl w:ilvl="5" w:tplc="61404E2E" w:tentative="1">
      <w:start w:val="1"/>
      <w:numFmt w:val="lowerRoman"/>
      <w:lvlText w:val="%6."/>
      <w:lvlJc w:val="right"/>
      <w:pPr>
        <w:ind w:left="4320" w:hanging="180"/>
      </w:pPr>
    </w:lvl>
    <w:lvl w:ilvl="6" w:tplc="AB161ABC" w:tentative="1">
      <w:start w:val="1"/>
      <w:numFmt w:val="decimal"/>
      <w:lvlText w:val="%7."/>
      <w:lvlJc w:val="left"/>
      <w:pPr>
        <w:ind w:left="5040" w:hanging="360"/>
      </w:pPr>
    </w:lvl>
    <w:lvl w:ilvl="7" w:tplc="E200D158" w:tentative="1">
      <w:start w:val="1"/>
      <w:numFmt w:val="lowerLetter"/>
      <w:lvlText w:val="%8."/>
      <w:lvlJc w:val="left"/>
      <w:pPr>
        <w:ind w:left="5760" w:hanging="360"/>
      </w:pPr>
    </w:lvl>
    <w:lvl w:ilvl="8" w:tplc="9F9A3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14549"/>
    <w:multiLevelType w:val="hybridMultilevel"/>
    <w:tmpl w:val="52B45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0C1E"/>
    <w:multiLevelType w:val="hybridMultilevel"/>
    <w:tmpl w:val="20B2CA22"/>
    <w:lvl w:ilvl="0" w:tplc="2C10E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87F00" w:tentative="1">
      <w:start w:val="1"/>
      <w:numFmt w:val="lowerLetter"/>
      <w:lvlText w:val="%2."/>
      <w:lvlJc w:val="left"/>
      <w:pPr>
        <w:ind w:left="1440" w:hanging="360"/>
      </w:pPr>
    </w:lvl>
    <w:lvl w:ilvl="2" w:tplc="9E0472DA" w:tentative="1">
      <w:start w:val="1"/>
      <w:numFmt w:val="lowerRoman"/>
      <w:lvlText w:val="%3."/>
      <w:lvlJc w:val="right"/>
      <w:pPr>
        <w:ind w:left="2160" w:hanging="180"/>
      </w:pPr>
    </w:lvl>
    <w:lvl w:ilvl="3" w:tplc="B32E8AA8" w:tentative="1">
      <w:start w:val="1"/>
      <w:numFmt w:val="decimal"/>
      <w:lvlText w:val="%4."/>
      <w:lvlJc w:val="left"/>
      <w:pPr>
        <w:ind w:left="2880" w:hanging="360"/>
      </w:pPr>
    </w:lvl>
    <w:lvl w:ilvl="4" w:tplc="B0D42666" w:tentative="1">
      <w:start w:val="1"/>
      <w:numFmt w:val="lowerLetter"/>
      <w:lvlText w:val="%5."/>
      <w:lvlJc w:val="left"/>
      <w:pPr>
        <w:ind w:left="3600" w:hanging="360"/>
      </w:pPr>
    </w:lvl>
    <w:lvl w:ilvl="5" w:tplc="6CCC417A" w:tentative="1">
      <w:start w:val="1"/>
      <w:numFmt w:val="lowerRoman"/>
      <w:lvlText w:val="%6."/>
      <w:lvlJc w:val="right"/>
      <w:pPr>
        <w:ind w:left="4320" w:hanging="180"/>
      </w:pPr>
    </w:lvl>
    <w:lvl w:ilvl="6" w:tplc="34A2773A" w:tentative="1">
      <w:start w:val="1"/>
      <w:numFmt w:val="decimal"/>
      <w:lvlText w:val="%7."/>
      <w:lvlJc w:val="left"/>
      <w:pPr>
        <w:ind w:left="5040" w:hanging="360"/>
      </w:pPr>
    </w:lvl>
    <w:lvl w:ilvl="7" w:tplc="91645634" w:tentative="1">
      <w:start w:val="1"/>
      <w:numFmt w:val="lowerLetter"/>
      <w:lvlText w:val="%8."/>
      <w:lvlJc w:val="left"/>
      <w:pPr>
        <w:ind w:left="5760" w:hanging="360"/>
      </w:pPr>
    </w:lvl>
    <w:lvl w:ilvl="8" w:tplc="68ECC4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334406">
    <w:abstractNumId w:val="3"/>
  </w:num>
  <w:num w:numId="2" w16cid:durableId="487987216">
    <w:abstractNumId w:val="1"/>
  </w:num>
  <w:num w:numId="3" w16cid:durableId="2111850778">
    <w:abstractNumId w:val="2"/>
  </w:num>
  <w:num w:numId="4" w16cid:durableId="88710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F6"/>
    <w:rsid w:val="00012A26"/>
    <w:rsid w:val="00044347"/>
    <w:rsid w:val="00065775"/>
    <w:rsid w:val="000A3EDF"/>
    <w:rsid w:val="000A7C5E"/>
    <w:rsid w:val="000D7A08"/>
    <w:rsid w:val="001608EF"/>
    <w:rsid w:val="001A4A24"/>
    <w:rsid w:val="001E7913"/>
    <w:rsid w:val="00205C8B"/>
    <w:rsid w:val="00206A00"/>
    <w:rsid w:val="00271D86"/>
    <w:rsid w:val="002F56BC"/>
    <w:rsid w:val="00393054"/>
    <w:rsid w:val="003A0838"/>
    <w:rsid w:val="003D1D7D"/>
    <w:rsid w:val="003F3E63"/>
    <w:rsid w:val="0040105C"/>
    <w:rsid w:val="00442F4F"/>
    <w:rsid w:val="00443654"/>
    <w:rsid w:val="00444237"/>
    <w:rsid w:val="00464AA1"/>
    <w:rsid w:val="00464F88"/>
    <w:rsid w:val="004819EC"/>
    <w:rsid w:val="00494412"/>
    <w:rsid w:val="00497170"/>
    <w:rsid w:val="004E17DC"/>
    <w:rsid w:val="004E403B"/>
    <w:rsid w:val="004E582F"/>
    <w:rsid w:val="005F3049"/>
    <w:rsid w:val="00641B27"/>
    <w:rsid w:val="006454EF"/>
    <w:rsid w:val="006523E7"/>
    <w:rsid w:val="00685C9B"/>
    <w:rsid w:val="0068649E"/>
    <w:rsid w:val="00696501"/>
    <w:rsid w:val="006968DD"/>
    <w:rsid w:val="006E6AA4"/>
    <w:rsid w:val="00702DF2"/>
    <w:rsid w:val="00751899"/>
    <w:rsid w:val="0076478F"/>
    <w:rsid w:val="007752F6"/>
    <w:rsid w:val="00805746"/>
    <w:rsid w:val="00850660"/>
    <w:rsid w:val="00897153"/>
    <w:rsid w:val="008C1C89"/>
    <w:rsid w:val="008C5041"/>
    <w:rsid w:val="009446A7"/>
    <w:rsid w:val="00965DE1"/>
    <w:rsid w:val="009678FF"/>
    <w:rsid w:val="00974E90"/>
    <w:rsid w:val="00995E2B"/>
    <w:rsid w:val="009C1D24"/>
    <w:rsid w:val="009D63C0"/>
    <w:rsid w:val="009D76E9"/>
    <w:rsid w:val="00A279EF"/>
    <w:rsid w:val="00A70E6B"/>
    <w:rsid w:val="00A71947"/>
    <w:rsid w:val="00B472F7"/>
    <w:rsid w:val="00B947B9"/>
    <w:rsid w:val="00BB3722"/>
    <w:rsid w:val="00BE4AA9"/>
    <w:rsid w:val="00BE5C6E"/>
    <w:rsid w:val="00C42EAA"/>
    <w:rsid w:val="00CC7B57"/>
    <w:rsid w:val="00CD5B22"/>
    <w:rsid w:val="00CE27D6"/>
    <w:rsid w:val="00D429C4"/>
    <w:rsid w:val="00D64802"/>
    <w:rsid w:val="00D865F3"/>
    <w:rsid w:val="00D94539"/>
    <w:rsid w:val="00D95198"/>
    <w:rsid w:val="00DA072E"/>
    <w:rsid w:val="00E03154"/>
    <w:rsid w:val="00E4791C"/>
    <w:rsid w:val="00E56D79"/>
    <w:rsid w:val="00E94A7E"/>
    <w:rsid w:val="00ED2D8B"/>
    <w:rsid w:val="00F0272C"/>
    <w:rsid w:val="00F10E25"/>
    <w:rsid w:val="00F1327E"/>
    <w:rsid w:val="00F33303"/>
    <w:rsid w:val="00FA3E04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64E89"/>
  <w15:chartTrackingRefBased/>
  <w15:docId w15:val="{8B911C2C-1C3A-4583-8FE6-C7FC992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A1"/>
  </w:style>
  <w:style w:type="paragraph" w:styleId="Footer">
    <w:name w:val="footer"/>
    <w:basedOn w:val="Normal"/>
    <w:link w:val="FooterChar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A1"/>
  </w:style>
  <w:style w:type="paragraph" w:styleId="Revision">
    <w:name w:val="Revision"/>
    <w:hidden/>
    <w:uiPriority w:val="99"/>
    <w:semiHidden/>
    <w:rsid w:val="00F333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4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8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4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18E2-E382-4DD9-95DF-9621F37E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Marina Meņšikova-Fiļimonova</cp:lastModifiedBy>
  <cp:revision>9</cp:revision>
  <dcterms:created xsi:type="dcterms:W3CDTF">2025-05-20T07:29:00Z</dcterms:created>
  <dcterms:modified xsi:type="dcterms:W3CDTF">2025-05-20T08:03:00Z</dcterms:modified>
</cp:coreProperties>
</file>