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F26F" w14:textId="77777777" w:rsidR="00965DE1" w:rsidRPr="00FB6941" w:rsidRDefault="00755FB2" w:rsidP="00C04E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941">
        <w:rPr>
          <w:rFonts w:ascii="Times New Roman" w:hAnsi="Times New Roman" w:cs="Times New Roman"/>
          <w:b/>
          <w:sz w:val="26"/>
          <w:szCs w:val="26"/>
        </w:rPr>
        <w:t xml:space="preserve">Paskaidrojuma raksts </w:t>
      </w:r>
    </w:p>
    <w:p w14:paraId="650E3D70" w14:textId="3A0F930F" w:rsidR="00C04EA5" w:rsidRPr="00FB6941" w:rsidRDefault="00DD5E45" w:rsidP="00C04EA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Rīgas domes saistošajiem noteikumiem “</w:t>
      </w:r>
      <w:r w:rsidRPr="00DD5E45">
        <w:rPr>
          <w:rFonts w:ascii="Times New Roman" w:hAnsi="Times New Roman" w:cs="Times New Roman"/>
          <w:b/>
          <w:bCs/>
          <w:sz w:val="26"/>
          <w:szCs w:val="26"/>
        </w:rPr>
        <w:t>Grozījumi Rīgas domes 2024. gada 28. augusta saistošajos noteikumos Nr. RD-24-294-sn “Par līdzfinansējumu dzīvojamo māju uzturēšanai un modernizēšanai Rīgā”</w:t>
      </w:r>
      <w:r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3C2A290E" w14:textId="375ED2A3" w:rsidR="00464AA1" w:rsidRPr="00DD5E45" w:rsidRDefault="00DD5E45" w:rsidP="00C0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35353"/>
          <w:sz w:val="26"/>
          <w:szCs w:val="26"/>
          <w:lang w:eastAsia="lv-LV"/>
        </w:rPr>
      </w:pPr>
      <w:r w:rsidRPr="00DD5E45">
        <w:rPr>
          <w:rFonts w:ascii="Times New Roman" w:eastAsia="Times New Roman" w:hAnsi="Times New Roman" w:cs="Times New Roman"/>
          <w:i/>
          <w:iCs/>
          <w:color w:val="535353"/>
          <w:sz w:val="26"/>
          <w:szCs w:val="26"/>
          <w:lang w:eastAsia="lv-LV"/>
        </w:rPr>
        <w:t>(projekts)</w:t>
      </w:r>
    </w:p>
    <w:p w14:paraId="3875DFB8" w14:textId="77777777" w:rsidR="00C04EA5" w:rsidRPr="00FB6941" w:rsidRDefault="00C04EA5" w:rsidP="00C04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35353"/>
          <w:sz w:val="26"/>
          <w:szCs w:val="26"/>
          <w:lang w:eastAsia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0545" w:rsidRPr="00FB6941" w14:paraId="1A1D40BD" w14:textId="77777777" w:rsidTr="00C04EA5">
        <w:trPr>
          <w:trHeight w:val="654"/>
        </w:trPr>
        <w:tc>
          <w:tcPr>
            <w:tcW w:w="9634" w:type="dxa"/>
            <w:shd w:val="clear" w:color="auto" w:fill="auto"/>
          </w:tcPr>
          <w:p w14:paraId="1D146352" w14:textId="77777777" w:rsidR="007752F6" w:rsidRPr="00FB6941" w:rsidRDefault="00755FB2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1. Mērķi un nepieciešamības pamatojums, tostarp raksturojot iespējamās alternatīvas, kas neparedz tiesiskā regulējuma izstrādi</w:t>
            </w:r>
          </w:p>
          <w:p w14:paraId="14F7F219" w14:textId="51C5DFD8" w:rsidR="00DD5E45" w:rsidRPr="00DD5E45" w:rsidRDefault="00DD5E45" w:rsidP="00DD5E45">
            <w:pPr>
              <w:shd w:val="clear" w:color="auto" w:fill="FFFFFF"/>
              <w:ind w:firstLine="7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Saskaņā ar likuma “</w:t>
            </w:r>
            <w:r w:rsidRPr="00DD5E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Par palīdzību dzīvokļa jautājumu risināšanā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” 27.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panta otrās daļas 8. punktu un šā panta piekto daļu, </w:t>
            </w:r>
            <w:r w:rsidR="00D81A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</w:t>
            </w:r>
            <w:r w:rsidRPr="00DD5E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ašvaldība var sniegt palīdzību dzīvojamās mājas īpašniekam (īpašniekiem) vai dzīvokļu īpašniekiem, piešķirot finansējumu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Pr="00DD5E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patvertnes izveidei dzīvojamā mājā iedzīvotāju patvēruma nodrošināšanai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. </w:t>
            </w:r>
            <w:r w:rsidRPr="00DD5E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Kārtību, kādā tiek sniegta šā panta otrajā daļā minētā palīdzība, un palīdzības apmēru nosaka pašvaldība savos saistošajos noteikumos.</w:t>
            </w:r>
          </w:p>
          <w:p w14:paraId="510A7427" w14:textId="25246693" w:rsidR="00F019D2" w:rsidRDefault="00DD5E45" w:rsidP="00F019D2">
            <w:pPr>
              <w:shd w:val="clear" w:color="auto" w:fill="FFFFFF"/>
              <w:ind w:firstLine="7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Grozāmo s</w:t>
            </w:r>
            <w:r w:rsidR="00755FB2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aistošo noteikumu uzbūve paredz iespēju papildināt projektu veidu kopu ar papildu projektu veidiem, paredzot </w:t>
            </w:r>
            <w:r w:rsidR="00D81A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speciāli noteiktus</w:t>
            </w:r>
            <w:r w:rsidR="00755FB2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līdzfinansējuma apmērus, ar to pilnvērtīgāk realizējot </w:t>
            </w:r>
            <w:r w:rsidR="00680584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Pašvaldību </w:t>
            </w:r>
            <w:r w:rsidR="00755FB2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likuma 4. panta otrās daļas 10. punktā norādīto autonomo funkciju. </w:t>
            </w:r>
          </w:p>
          <w:p w14:paraId="5F7CDAB6" w14:textId="5D571C1B" w:rsidR="00E207A5" w:rsidRDefault="00E207A5" w:rsidP="00F019D2">
            <w:pPr>
              <w:shd w:val="clear" w:color="auto" w:fill="FFFFFF"/>
              <w:ind w:firstLine="7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Realizējot </w:t>
            </w:r>
            <w:r w:rsidRPr="00E207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likuma “Par palīdzību dzīvokļa jautājumu risināšanā” 27.</w:t>
            </w:r>
            <w:r w:rsidRPr="00E207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lv-LV"/>
              </w:rPr>
              <w:t>2</w:t>
            </w:r>
            <w:r w:rsidRPr="00E207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panta otrās daļas 8. punkt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</w:t>
            </w:r>
            <w:r w:rsidRPr="00E207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deleģējumu, ar saistošajiem iepriekš </w:t>
            </w:r>
            <w:r w:rsidR="00FA77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minētā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projektu </w:t>
            </w:r>
            <w:r w:rsidR="00FA77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veidu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kopa ir papildināta ar </w:t>
            </w:r>
            <w:r w:rsidR="00CD17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jaunu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projektu veidu – patvertnes projektu.</w:t>
            </w:r>
          </w:p>
          <w:p w14:paraId="6C9B7C4C" w14:textId="4DCF684F" w:rsidR="00CD28DF" w:rsidRDefault="00CD28DF" w:rsidP="00993708">
            <w:pPr>
              <w:shd w:val="clear" w:color="auto" w:fill="FFFFFF"/>
              <w:ind w:firstLine="7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Rīgas valstspilsētas pašvaldība</w:t>
            </w:r>
            <w:r w:rsidR="003D1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(turpmāk arī 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pašvaldība)</w:t>
            </w:r>
            <w:r w:rsidR="003D1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iestādes apstiprina projekt</w:t>
            </w:r>
            <w:r w:rsidR="003F74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us objektiem, kuri </w:t>
            </w:r>
            <w:r w:rsidR="005957E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pēc pārbūves </w:t>
            </w:r>
            <w:r w:rsidR="003F74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ir </w:t>
            </w:r>
            <w:r w:rsidR="00FC59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atzīstami</w:t>
            </w:r>
            <w:r w:rsidR="003F74E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par patvertnēm atbilstoši to ārējo normatīvo aktu prasībām, kuriem ir hierarhiski augstāks juridiskais spēks.</w:t>
            </w:r>
            <w:r w:rsidR="004C4B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Analoģiski patvertnes projekta īstenošanas ietvaros atbalstāmas darbības ir telpas pārbūvei par patvertni saskaņotie būvdarbi.</w:t>
            </w:r>
          </w:p>
          <w:p w14:paraId="2B489232" w14:textId="763DBC55" w:rsidR="00D865F3" w:rsidRPr="00BB7D92" w:rsidRDefault="00755FB2" w:rsidP="00BB7D92">
            <w:pPr>
              <w:shd w:val="clear" w:color="auto" w:fill="FFFFFF"/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Mērķa sasniegšanai nav piemērojamas alternatīvas, kas neparedz tiesiskā regulējuma izstrādi, jo šāds risinājums būtu pretrunā ar likuma atrunas principu.</w:t>
            </w:r>
            <w:r w:rsidR="00BB7D92">
              <w:t xml:space="preserve"> </w:t>
            </w:r>
            <w:r w:rsidR="00BB7D92" w:rsidRP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Pilnvarojums izdot saistošos noteikumus, nosakot </w:t>
            </w:r>
            <w:r w:rsidR="00A70AD0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pašvaldības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="00BB7D92" w:rsidRP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atbalsta piešķiršanas kārtību patvertnes izbūvei vai ierīkošanai un aprīkošanai, ir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="00BB7D92" w:rsidRP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nepieciešams, jo personas tiesības prasīt un saņemt atbalstu no pašvaldības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="00BB7D92" w:rsidRP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nosakāmas ārējā normatīvā aktā.</w:t>
            </w:r>
          </w:p>
        </w:tc>
      </w:tr>
      <w:tr w:rsidR="001D0545" w:rsidRPr="00FB6941" w14:paraId="67C8D3AA" w14:textId="77777777" w:rsidTr="00C04EA5">
        <w:tc>
          <w:tcPr>
            <w:tcW w:w="9634" w:type="dxa"/>
          </w:tcPr>
          <w:p w14:paraId="6F494B74" w14:textId="77777777" w:rsidR="007752F6" w:rsidRPr="00FB6941" w:rsidRDefault="00755FB2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 xml:space="preserve">2. Fiskālā ietekme uz pašvaldības budžetu, iekļaujot attiecīgus aprēķinus </w:t>
            </w:r>
          </w:p>
          <w:p w14:paraId="69E09534" w14:textId="1A5A185A" w:rsidR="00F019D2" w:rsidRPr="00646E08" w:rsidRDefault="00755FB2" w:rsidP="00C04EA5">
            <w:pPr>
              <w:shd w:val="clear" w:color="auto" w:fill="FFFFFF"/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Projekti tiks līdzfinansēti, ja Rīgas dome atbalstīs to īstenošanai nepieciešamo naudas līdzekļu piešķiršanu, apstiprinot pašvaldības kārtēj</w:t>
            </w:r>
            <w:r w:rsidR="000A415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ā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saimnieciskā gada budžetu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, ievērojot, ka </w:t>
            </w:r>
            <w:r w:rsidR="00FA77E0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pašvaldības Īpašuma</w:t>
            </w:r>
            <w:r w:rsidR="00FA77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departamentam </w:t>
            </w:r>
            <w:r w:rsidR="00411D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papildus 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ir nepieciešama viena projekta vadītāja štata vieta uz </w:t>
            </w:r>
            <w:r w:rsidR="00FA77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katriem līdzfinansējuma 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200`000 </w:t>
            </w:r>
            <w:r w:rsidR="00646E08" w:rsidRPr="00646E0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lv-LV"/>
              </w:rPr>
              <w:t>euro</w:t>
            </w:r>
            <w:r w:rsidR="00646E08" w:rsidRP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, </w:t>
            </w:r>
            <w:r w:rsidR="00FA77E0" w:rsidRP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k</w:t>
            </w:r>
            <w:r w:rsidR="00FA77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o</w:t>
            </w:r>
            <w:r w:rsidR="00FA77E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plānots izlietot patvert</w:t>
            </w:r>
            <w:r w:rsidR="003D17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nes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projektu līdzfinansēšanai.</w:t>
            </w:r>
          </w:p>
        </w:tc>
      </w:tr>
      <w:tr w:rsidR="001D0545" w:rsidRPr="00FB6941" w14:paraId="5A2675F7" w14:textId="77777777" w:rsidTr="00C04EA5">
        <w:tc>
          <w:tcPr>
            <w:tcW w:w="9634" w:type="dxa"/>
          </w:tcPr>
          <w:p w14:paraId="1E6D108E" w14:textId="77777777" w:rsidR="007752F6" w:rsidRPr="00FB6941" w:rsidRDefault="00755FB2" w:rsidP="00CD5B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3. Sociālā ietekme, ietekme uz vidi, iedzīvotāju veselību, uzņēmējdarbības vidi pašvaldības teritorijā, kā arī plānotā regulējuma ietekme uz konkurenci (aktuālā situācija, prognozes tirgū un atbilstība brīvai un godīgai konkurencei)</w:t>
            </w:r>
          </w:p>
          <w:p w14:paraId="5920CB5C" w14:textId="0F9F830B" w:rsidR="00F019D2" w:rsidRPr="00FB6941" w:rsidRDefault="00755FB2" w:rsidP="00C04EA5">
            <w:pPr>
              <w:shd w:val="clear" w:color="auto" w:fill="FFFFFF"/>
              <w:ind w:firstLine="7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 xml:space="preserve">Ņemot vērā notikušās </w:t>
            </w:r>
            <w:r w:rsidR="00A70AD0">
              <w:rPr>
                <w:rFonts w:ascii="Times New Roman" w:hAnsi="Times New Roman" w:cs="Times New Roman"/>
                <w:sz w:val="26"/>
                <w:szCs w:val="26"/>
              </w:rPr>
              <w:t xml:space="preserve">un sagaidāmās </w:t>
            </w: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>izmaiņas normatīvajos aktos</w:t>
            </w:r>
            <w:r w:rsidR="000E5B7E" w:rsidRPr="00FB69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 xml:space="preserve"> saistošie noteikumi paplašina </w:t>
            </w:r>
            <w:r w:rsidR="00A70AD0">
              <w:rPr>
                <w:rFonts w:ascii="Times New Roman" w:hAnsi="Times New Roman" w:cs="Times New Roman"/>
                <w:sz w:val="26"/>
                <w:szCs w:val="26"/>
              </w:rPr>
              <w:t xml:space="preserve">modernizējamo dzīvojamo māju </w:t>
            </w: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>loku</w:t>
            </w:r>
            <w:r w:rsidR="00A70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>pašvaldības administratīvajā teritorijā</w:t>
            </w:r>
            <w:r w:rsidR="00A70A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77E0">
              <w:rPr>
                <w:rFonts w:ascii="Times New Roman" w:hAnsi="Times New Roman" w:cs="Times New Roman"/>
                <w:sz w:val="26"/>
                <w:szCs w:val="26"/>
              </w:rPr>
              <w:t xml:space="preserve">ar mājām, </w:t>
            </w:r>
            <w:r w:rsidR="00A70AD0">
              <w:rPr>
                <w:rFonts w:ascii="Times New Roman" w:hAnsi="Times New Roman" w:cs="Times New Roman"/>
                <w:sz w:val="26"/>
                <w:szCs w:val="26"/>
              </w:rPr>
              <w:t>kuru kopīpašnieki par prioritāti izvēlas personīgo drošību</w:t>
            </w: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D0545" w:rsidRPr="00FB6941" w14:paraId="29588D31" w14:textId="77777777" w:rsidTr="00C04EA5">
        <w:tc>
          <w:tcPr>
            <w:tcW w:w="9634" w:type="dxa"/>
          </w:tcPr>
          <w:p w14:paraId="10887401" w14:textId="77777777" w:rsidR="007752F6" w:rsidRPr="00FB6941" w:rsidRDefault="00755FB2" w:rsidP="00CD5B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4. Ietekme uz administratīvajām procedūrām un to izmaksām gan attiecībā uz saimnieciskās darbības veicējiem, gan fiziskajām personām un nevalstiskā sektora organizācijām, gan budžeta finansētām institūcijām</w:t>
            </w:r>
          </w:p>
          <w:p w14:paraId="5DD6F3B9" w14:textId="64B4EA3E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lastRenderedPageBreak/>
              <w:t xml:space="preserve">Saistošo noteikumu piemērošanos jautājumos kompetentās iestādes ir pašvaldības Īpašuma departaments (turpmāk 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softHyphen/>
              <w:t>–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departaments) un Rīgas domes Pilsētvides attīstības un kvalitātes komisija</w:t>
            </w:r>
            <w:r w:rsidR="00CD17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(turpmāk – komisija)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.</w:t>
            </w:r>
          </w:p>
          <w:p w14:paraId="1A50E43D" w14:textId="77777777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Saistošo noteikumu ietvaros īstenojamās procedūras galvenie posmi ir:</w:t>
            </w:r>
          </w:p>
          <w:p w14:paraId="2C50BE72" w14:textId="77777777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 konkursa nolikuma projekta sagatavošana, apstiprināšana un publicēšana;</w:t>
            </w:r>
          </w:p>
          <w:p w14:paraId="30A6DD6D" w14:textId="77777777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 privātpersonu sagatavotu konkursa projektu iesniegšana iestādē nolikumā noteiktajā termiņā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;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</w:p>
          <w:p w14:paraId="0C89796A" w14:textId="77777777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 projektu pieļaujamības novērtēšana un atbilstoši konkursa nolikumā iekļautajiem kritērijiem nepieļaujamo projektu nora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dīšana ar komisijas lēmumu;</w:t>
            </w:r>
          </w:p>
          <w:p w14:paraId="110390AE" w14:textId="0D577150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- </w:t>
            </w:r>
            <w:r w:rsidR="00FA77E0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pieejam</w:t>
            </w:r>
            <w:r w:rsidR="00FA77E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ā</w:t>
            </w:r>
            <w:r w:rsidR="00FA77E0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budžeta ietvaros un atbilstoši departamenta administratīvai kapacitātei pieļaujamo projektu apstiprināšana ar komisijas lēmumu;</w:t>
            </w:r>
          </w:p>
          <w:p w14:paraId="50D22D64" w14:textId="77777777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 līguma par līdzfinansēt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u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(apstiprināt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u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) projekt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u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noslēgšana un projekta īstenošana atbilstoši tā nosacījumiem;</w:t>
            </w:r>
          </w:p>
          <w:p w14:paraId="2A24286D" w14:textId="10CEF4DE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- līguma par līdzfinansēt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u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(apstiprināt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u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) projekt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u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izpildes dokumentācijas iesniegšana un tās </w:t>
            </w:r>
            <w:r w:rsidR="00CD17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iz</w:t>
            </w:r>
            <w:r w:rsidR="00CD1753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vērtēšana 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departamentā un akcepta gadījumā līdzfinansējuma maksājuma saņemšana.</w:t>
            </w:r>
          </w:p>
          <w:p w14:paraId="482FA1EF" w14:textId="3865CBB4" w:rsidR="00CE58E8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Kā privātpersonu, tā arī pašvaldību izmaksas ir saistītas ar līdzfinansējuma konkursu ietvaros iesniegto projektu administrēšanu. Privātpersonu gadījumā tās ir nebūtisk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s, jo projekta saturu pamatā veido projektēšanas ietvaros sagatavoti dokumenti, 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kuru</w:t>
            </w:r>
            <w:r w:rsidR="00226E04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sagatavošanas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pienākums  izriet no būvniecību </w:t>
            </w:r>
            <w:r w:rsidR="00FB6941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un civilās aizsardzības pārvaldīšanu 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regulējošajiem normatīvajiem aktiem.</w:t>
            </w:r>
          </w:p>
          <w:p w14:paraId="66641A79" w14:textId="77777777" w:rsidR="00D865F3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Pašvaldības izmaksas ir atkarīgas no konkursa ietvaros iesniegto un pēc apstiprināšanas administrējamo projektu skaita.</w:t>
            </w:r>
          </w:p>
        </w:tc>
      </w:tr>
      <w:tr w:rsidR="001D0545" w:rsidRPr="00FB6941" w14:paraId="0E7385EF" w14:textId="77777777" w:rsidTr="00C04EA5">
        <w:tc>
          <w:tcPr>
            <w:tcW w:w="9634" w:type="dxa"/>
          </w:tcPr>
          <w:p w14:paraId="452D6698" w14:textId="77777777" w:rsidR="007752F6" w:rsidRPr="00FB6941" w:rsidRDefault="00755FB2" w:rsidP="00CD5B2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lastRenderedPageBreak/>
              <w:t>5. Ietekme uz pašvaldības funkcijām un cilvēkresursiem</w:t>
            </w:r>
          </w:p>
          <w:p w14:paraId="79C5AE3B" w14:textId="77777777" w:rsidR="00F019D2" w:rsidRPr="00FB6941" w:rsidRDefault="00755FB2" w:rsidP="00C04EA5">
            <w:pPr>
              <w:ind w:firstLine="7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Saistošie noteikumi ir vērsti uz Pašvaldību likuma 4. panta pirmās daļas 10. punktā minētās pašvaldības autonomās funkcijas izpildi.</w:t>
            </w:r>
          </w:p>
          <w:p w14:paraId="2FBA058C" w14:textId="4CFD02DF" w:rsidR="00D865F3" w:rsidRPr="00FB6941" w:rsidRDefault="00755FB2" w:rsidP="00C04EA5">
            <w:pPr>
              <w:ind w:firstLine="73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Šajos saistošajos noteikumos paredzēt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ais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pakalpojum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tiek administrēt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kopīgas budžeta programmas, kas nodrošina finansējumu arī </w:t>
            </w:r>
            <w:r w:rsidR="00DD5E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mājokļu </w:t>
            </w:r>
            <w:r w:rsidR="00BB7D9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modernizēšanai</w:t>
            </w:r>
            <w:r w:rsidR="00DD5E4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,  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sakrālā mantojuma objektu un atsevišķu vēsturisko būvju saglabāšanai </w:t>
            </w:r>
            <w:r w:rsidR="00226E04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pašvaldības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administratīvajā teritorijā</w:t>
            </w:r>
            <w:r w:rsidR="00797149"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, ietvaros</w:t>
            </w: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. Ņemot vērā minēto, pakalpojuma administrēšanai nepieciešamo personālu nosaka atbilstoši programmā piešķirtā budžeta finansējuma apmēram un noteiktajām prioritātēm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, kā arī </w:t>
            </w:r>
            <w:r w:rsidR="004C4B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jaunajam pakalpojumam</w:t>
            </w:r>
            <w:r w:rsidR="00646E0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 nodrošināmi papildu cilvēkresursi.</w:t>
            </w:r>
          </w:p>
        </w:tc>
      </w:tr>
      <w:tr w:rsidR="001D0545" w:rsidRPr="00FB6941" w14:paraId="78077A1F" w14:textId="77777777" w:rsidTr="00C04EA5">
        <w:tc>
          <w:tcPr>
            <w:tcW w:w="9634" w:type="dxa"/>
          </w:tcPr>
          <w:p w14:paraId="00E5CC8A" w14:textId="77777777" w:rsidR="007752F6" w:rsidRPr="00FB6941" w:rsidRDefault="00755FB2" w:rsidP="00F10E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6. Izpildes nodrošināšana</w:t>
            </w:r>
          </w:p>
          <w:p w14:paraId="0AE46BC7" w14:textId="77777777" w:rsidR="00D865F3" w:rsidRPr="00FB6941" w:rsidRDefault="00755FB2" w:rsidP="00C04EA5">
            <w:pPr>
              <w:ind w:firstLine="74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Saistošo noteikumu izpildi nodrošinās departaments un komisija.</w:t>
            </w:r>
          </w:p>
        </w:tc>
      </w:tr>
      <w:tr w:rsidR="001D0545" w:rsidRPr="00FB6941" w14:paraId="0A9D3343" w14:textId="77777777" w:rsidTr="00C04EA5">
        <w:tc>
          <w:tcPr>
            <w:tcW w:w="9634" w:type="dxa"/>
          </w:tcPr>
          <w:p w14:paraId="51E4F1E2" w14:textId="77777777" w:rsidR="007752F6" w:rsidRPr="00FB6941" w:rsidRDefault="00755FB2" w:rsidP="004442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7. Prasību un izmaksu samērīgums pret ieguvumiem, ko sniedz mērķa sasniegšana</w:t>
            </w:r>
          </w:p>
          <w:p w14:paraId="57203BA6" w14:textId="77777777" w:rsidR="00D865F3" w:rsidRPr="00FB6941" w:rsidRDefault="00755FB2" w:rsidP="00C04EA5">
            <w:pPr>
              <w:ind w:firstLine="7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hAnsi="Times New Roman" w:cs="Times New Roman"/>
                <w:sz w:val="26"/>
                <w:szCs w:val="26"/>
              </w:rPr>
              <w:t>Saistošajos noteikumos izvirzītās prasības atbilst augstāka juridiskā spēka normatīvajam aktam. Saistošie noteikumi neparedz papildu ierobežojumus privātpersonām, tādējādi nav nepieciešams veikt samērīguma pārbaudi.</w:t>
            </w:r>
          </w:p>
        </w:tc>
      </w:tr>
      <w:tr w:rsidR="001D0545" w:rsidRPr="00FB6941" w14:paraId="252580A1" w14:textId="77777777" w:rsidTr="00C04EA5">
        <w:tc>
          <w:tcPr>
            <w:tcW w:w="9634" w:type="dxa"/>
          </w:tcPr>
          <w:p w14:paraId="4BC450A7" w14:textId="77777777" w:rsidR="007752F6" w:rsidRPr="00FB6941" w:rsidRDefault="00755FB2" w:rsidP="0044423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  <w:t>8. Izstrādes gaitā veiktās konsultācijas ar privātpersonām un institūcijām, tostarp sabiedrības viedokļa noskaidrošanā gūtā informācija</w:t>
            </w:r>
          </w:p>
          <w:p w14:paraId="34225BB8" w14:textId="0EE4BAF8" w:rsidR="00D865F3" w:rsidRPr="00FB6941" w:rsidRDefault="00755FB2" w:rsidP="00F10E2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lv-LV"/>
              </w:rPr>
            </w:pPr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 xml:space="preserve">Saistošo noteikumu projekts tika nodots sabiedrības viedokļa noskaidrošanai pašvaldības tīmekļvietnes sadaļā </w:t>
            </w:r>
            <w:hyperlink r:id="rId7" w:history="1">
              <w:r w:rsidR="00D865F3" w:rsidRPr="00FB6941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lv-LV"/>
                </w:rPr>
                <w:t>https://www.riga.lv/lv/saistoso-noteikumu-projekti</w:t>
              </w:r>
            </w:hyperlink>
            <w:r w:rsidRPr="00FB69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lv-LV"/>
              </w:rPr>
              <w:t>.</w:t>
            </w:r>
          </w:p>
        </w:tc>
      </w:tr>
    </w:tbl>
    <w:p w14:paraId="2AC471B6" w14:textId="77777777" w:rsidR="007752F6" w:rsidRPr="00FB6941" w:rsidRDefault="007752F6" w:rsidP="00F10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4D4B290F" w14:textId="77777777" w:rsidR="00D865F3" w:rsidRPr="00FB694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730B66" w14:textId="77777777" w:rsidR="00D865F3" w:rsidRPr="00FB6941" w:rsidRDefault="00D865F3" w:rsidP="00F10E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865F3" w:rsidRPr="00FB6941" w:rsidSect="00C04EA5"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6539" w14:textId="77777777" w:rsidR="00755FB2" w:rsidRDefault="00755FB2">
      <w:pPr>
        <w:spacing w:after="0" w:line="240" w:lineRule="auto"/>
      </w:pPr>
      <w:r>
        <w:separator/>
      </w:r>
    </w:p>
  </w:endnote>
  <w:endnote w:type="continuationSeparator" w:id="0">
    <w:p w14:paraId="129578EA" w14:textId="77777777" w:rsidR="00755FB2" w:rsidRDefault="0075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410" w14:textId="77777777" w:rsidR="00A8175B" w:rsidRDefault="00A8175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0A0B" w14:textId="77777777" w:rsidR="00A8175B" w:rsidRDefault="00A8175B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ED688" w14:textId="77777777" w:rsidR="00755FB2" w:rsidRDefault="00755FB2">
      <w:pPr>
        <w:spacing w:after="0" w:line="240" w:lineRule="auto"/>
      </w:pPr>
      <w:r>
        <w:separator/>
      </w:r>
    </w:p>
  </w:footnote>
  <w:footnote w:type="continuationSeparator" w:id="0">
    <w:p w14:paraId="63C65402" w14:textId="77777777" w:rsidR="00755FB2" w:rsidRDefault="0075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0561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E14353C" w14:textId="77777777" w:rsidR="00464AA1" w:rsidRPr="00464AA1" w:rsidRDefault="00755FB2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64AA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64AA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464AA1">
          <w:rPr>
            <w:rFonts w:ascii="Times New Roman" w:hAnsi="Times New Roman" w:cs="Times New Roman"/>
            <w:sz w:val="26"/>
            <w:szCs w:val="26"/>
          </w:rPr>
          <w:t>2</w:t>
        </w:r>
        <w:r w:rsidRPr="00464AA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384B054E" w14:textId="77777777" w:rsidR="00464AA1" w:rsidRDefault="00464AA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320A"/>
    <w:multiLevelType w:val="hybridMultilevel"/>
    <w:tmpl w:val="A1B8B6C6"/>
    <w:lvl w:ilvl="0" w:tplc="CB7870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5AE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9A8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9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606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86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678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60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2A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7F2C"/>
    <w:multiLevelType w:val="hybridMultilevel"/>
    <w:tmpl w:val="10E0C2A8"/>
    <w:lvl w:ilvl="0" w:tplc="20C0E456">
      <w:start w:val="1"/>
      <w:numFmt w:val="decimal"/>
      <w:lvlText w:val="%1."/>
      <w:lvlJc w:val="left"/>
      <w:pPr>
        <w:ind w:left="720" w:hanging="360"/>
      </w:pPr>
    </w:lvl>
    <w:lvl w:ilvl="1" w:tplc="5462B736">
      <w:start w:val="1"/>
      <w:numFmt w:val="lowerLetter"/>
      <w:lvlText w:val="%2."/>
      <w:lvlJc w:val="left"/>
      <w:pPr>
        <w:ind w:left="1440" w:hanging="360"/>
      </w:pPr>
    </w:lvl>
    <w:lvl w:ilvl="2" w:tplc="095C6F6A" w:tentative="1">
      <w:start w:val="1"/>
      <w:numFmt w:val="lowerRoman"/>
      <w:lvlText w:val="%3."/>
      <w:lvlJc w:val="right"/>
      <w:pPr>
        <w:ind w:left="2160" w:hanging="180"/>
      </w:pPr>
    </w:lvl>
    <w:lvl w:ilvl="3" w:tplc="D610BA18" w:tentative="1">
      <w:start w:val="1"/>
      <w:numFmt w:val="decimal"/>
      <w:lvlText w:val="%4."/>
      <w:lvlJc w:val="left"/>
      <w:pPr>
        <w:ind w:left="2880" w:hanging="360"/>
      </w:pPr>
    </w:lvl>
    <w:lvl w:ilvl="4" w:tplc="CD245CE8" w:tentative="1">
      <w:start w:val="1"/>
      <w:numFmt w:val="lowerLetter"/>
      <w:lvlText w:val="%5."/>
      <w:lvlJc w:val="left"/>
      <w:pPr>
        <w:ind w:left="3600" w:hanging="360"/>
      </w:pPr>
    </w:lvl>
    <w:lvl w:ilvl="5" w:tplc="B7106DCA" w:tentative="1">
      <w:start w:val="1"/>
      <w:numFmt w:val="lowerRoman"/>
      <w:lvlText w:val="%6."/>
      <w:lvlJc w:val="right"/>
      <w:pPr>
        <w:ind w:left="4320" w:hanging="180"/>
      </w:pPr>
    </w:lvl>
    <w:lvl w:ilvl="6" w:tplc="6568D13A" w:tentative="1">
      <w:start w:val="1"/>
      <w:numFmt w:val="decimal"/>
      <w:lvlText w:val="%7."/>
      <w:lvlJc w:val="left"/>
      <w:pPr>
        <w:ind w:left="5040" w:hanging="360"/>
      </w:pPr>
    </w:lvl>
    <w:lvl w:ilvl="7" w:tplc="3C32AAA2" w:tentative="1">
      <w:start w:val="1"/>
      <w:numFmt w:val="lowerLetter"/>
      <w:lvlText w:val="%8."/>
      <w:lvlJc w:val="left"/>
      <w:pPr>
        <w:ind w:left="5760" w:hanging="360"/>
      </w:pPr>
    </w:lvl>
    <w:lvl w:ilvl="8" w:tplc="A14EB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A0C1E"/>
    <w:multiLevelType w:val="hybridMultilevel"/>
    <w:tmpl w:val="20B2CA22"/>
    <w:lvl w:ilvl="0" w:tplc="8CE47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580BB8" w:tentative="1">
      <w:start w:val="1"/>
      <w:numFmt w:val="lowerLetter"/>
      <w:lvlText w:val="%2."/>
      <w:lvlJc w:val="left"/>
      <w:pPr>
        <w:ind w:left="1440" w:hanging="360"/>
      </w:pPr>
    </w:lvl>
    <w:lvl w:ilvl="2" w:tplc="0E1EF15A" w:tentative="1">
      <w:start w:val="1"/>
      <w:numFmt w:val="lowerRoman"/>
      <w:lvlText w:val="%3."/>
      <w:lvlJc w:val="right"/>
      <w:pPr>
        <w:ind w:left="2160" w:hanging="180"/>
      </w:pPr>
    </w:lvl>
    <w:lvl w:ilvl="3" w:tplc="BB5085C2" w:tentative="1">
      <w:start w:val="1"/>
      <w:numFmt w:val="decimal"/>
      <w:lvlText w:val="%4."/>
      <w:lvlJc w:val="left"/>
      <w:pPr>
        <w:ind w:left="2880" w:hanging="360"/>
      </w:pPr>
    </w:lvl>
    <w:lvl w:ilvl="4" w:tplc="DD9AE6FE" w:tentative="1">
      <w:start w:val="1"/>
      <w:numFmt w:val="lowerLetter"/>
      <w:lvlText w:val="%5."/>
      <w:lvlJc w:val="left"/>
      <w:pPr>
        <w:ind w:left="3600" w:hanging="360"/>
      </w:pPr>
    </w:lvl>
    <w:lvl w:ilvl="5" w:tplc="296447D6" w:tentative="1">
      <w:start w:val="1"/>
      <w:numFmt w:val="lowerRoman"/>
      <w:lvlText w:val="%6."/>
      <w:lvlJc w:val="right"/>
      <w:pPr>
        <w:ind w:left="4320" w:hanging="180"/>
      </w:pPr>
    </w:lvl>
    <w:lvl w:ilvl="6" w:tplc="38AEB414" w:tentative="1">
      <w:start w:val="1"/>
      <w:numFmt w:val="decimal"/>
      <w:lvlText w:val="%7."/>
      <w:lvlJc w:val="left"/>
      <w:pPr>
        <w:ind w:left="5040" w:hanging="360"/>
      </w:pPr>
    </w:lvl>
    <w:lvl w:ilvl="7" w:tplc="11D69FF6" w:tentative="1">
      <w:start w:val="1"/>
      <w:numFmt w:val="lowerLetter"/>
      <w:lvlText w:val="%8."/>
      <w:lvlJc w:val="left"/>
      <w:pPr>
        <w:ind w:left="5760" w:hanging="360"/>
      </w:pPr>
    </w:lvl>
    <w:lvl w:ilvl="8" w:tplc="1D0EFF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489588">
    <w:abstractNumId w:val="2"/>
  </w:num>
  <w:num w:numId="2" w16cid:durableId="178008472">
    <w:abstractNumId w:val="1"/>
  </w:num>
  <w:num w:numId="3" w16cid:durableId="1343165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F6"/>
    <w:rsid w:val="00002928"/>
    <w:rsid w:val="00041125"/>
    <w:rsid w:val="000505CC"/>
    <w:rsid w:val="00075BB8"/>
    <w:rsid w:val="000A4159"/>
    <w:rsid w:val="000D3B17"/>
    <w:rsid w:val="000E5B7E"/>
    <w:rsid w:val="000E6F84"/>
    <w:rsid w:val="000F09D9"/>
    <w:rsid w:val="001A4A24"/>
    <w:rsid w:val="001C7206"/>
    <w:rsid w:val="001D0545"/>
    <w:rsid w:val="00226E04"/>
    <w:rsid w:val="0024427B"/>
    <w:rsid w:val="00267117"/>
    <w:rsid w:val="00271D86"/>
    <w:rsid w:val="00294E78"/>
    <w:rsid w:val="002D799C"/>
    <w:rsid w:val="002F56BC"/>
    <w:rsid w:val="00301DC8"/>
    <w:rsid w:val="00376CBB"/>
    <w:rsid w:val="003811AD"/>
    <w:rsid w:val="003C6754"/>
    <w:rsid w:val="003D17F5"/>
    <w:rsid w:val="003D1D7D"/>
    <w:rsid w:val="003F74EC"/>
    <w:rsid w:val="00411D25"/>
    <w:rsid w:val="0042011C"/>
    <w:rsid w:val="00444237"/>
    <w:rsid w:val="00464AA1"/>
    <w:rsid w:val="00491B37"/>
    <w:rsid w:val="004938A1"/>
    <w:rsid w:val="004C4B61"/>
    <w:rsid w:val="004E0CC2"/>
    <w:rsid w:val="004E17DC"/>
    <w:rsid w:val="004E403B"/>
    <w:rsid w:val="004E582F"/>
    <w:rsid w:val="004F5F51"/>
    <w:rsid w:val="005269C4"/>
    <w:rsid w:val="0054186A"/>
    <w:rsid w:val="00565821"/>
    <w:rsid w:val="005957ED"/>
    <w:rsid w:val="005C3829"/>
    <w:rsid w:val="005D30D3"/>
    <w:rsid w:val="005F2D54"/>
    <w:rsid w:val="00640E55"/>
    <w:rsid w:val="00641B27"/>
    <w:rsid w:val="00646E08"/>
    <w:rsid w:val="00650C6E"/>
    <w:rsid w:val="00680584"/>
    <w:rsid w:val="006A2773"/>
    <w:rsid w:val="00717969"/>
    <w:rsid w:val="00751899"/>
    <w:rsid w:val="00755FB2"/>
    <w:rsid w:val="00773DF5"/>
    <w:rsid w:val="007752F6"/>
    <w:rsid w:val="00793E1F"/>
    <w:rsid w:val="00797149"/>
    <w:rsid w:val="00812D4B"/>
    <w:rsid w:val="00864896"/>
    <w:rsid w:val="008C5041"/>
    <w:rsid w:val="00911E00"/>
    <w:rsid w:val="00965DE1"/>
    <w:rsid w:val="00993708"/>
    <w:rsid w:val="009C1D24"/>
    <w:rsid w:val="009D76E9"/>
    <w:rsid w:val="00A53F98"/>
    <w:rsid w:val="00A558DC"/>
    <w:rsid w:val="00A65BF0"/>
    <w:rsid w:val="00A70AD0"/>
    <w:rsid w:val="00A8175B"/>
    <w:rsid w:val="00AA405B"/>
    <w:rsid w:val="00B66734"/>
    <w:rsid w:val="00B668AA"/>
    <w:rsid w:val="00BB7D92"/>
    <w:rsid w:val="00BD0886"/>
    <w:rsid w:val="00C04EA5"/>
    <w:rsid w:val="00C10D8A"/>
    <w:rsid w:val="00C85112"/>
    <w:rsid w:val="00CB3A2B"/>
    <w:rsid w:val="00CC7B57"/>
    <w:rsid w:val="00CD1753"/>
    <w:rsid w:val="00CD28DF"/>
    <w:rsid w:val="00CD5B22"/>
    <w:rsid w:val="00CE58E8"/>
    <w:rsid w:val="00D45C81"/>
    <w:rsid w:val="00D72F3E"/>
    <w:rsid w:val="00D81A2D"/>
    <w:rsid w:val="00D83C52"/>
    <w:rsid w:val="00D865F3"/>
    <w:rsid w:val="00D9451B"/>
    <w:rsid w:val="00DD5E45"/>
    <w:rsid w:val="00E03E94"/>
    <w:rsid w:val="00E207A5"/>
    <w:rsid w:val="00E4470B"/>
    <w:rsid w:val="00E4791C"/>
    <w:rsid w:val="00E631A4"/>
    <w:rsid w:val="00ED452D"/>
    <w:rsid w:val="00EF06D4"/>
    <w:rsid w:val="00EF2945"/>
    <w:rsid w:val="00F019D2"/>
    <w:rsid w:val="00F10E25"/>
    <w:rsid w:val="00F35837"/>
    <w:rsid w:val="00F9772A"/>
    <w:rsid w:val="00FA2629"/>
    <w:rsid w:val="00FA3E04"/>
    <w:rsid w:val="00FA77E0"/>
    <w:rsid w:val="00FB29F8"/>
    <w:rsid w:val="00FB6941"/>
    <w:rsid w:val="00FC5999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E4B0D"/>
  <w15:chartTrackingRefBased/>
  <w15:docId w15:val="{8B911C2C-1C3A-4583-8FE6-C7FC992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52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7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752F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64AA1"/>
  </w:style>
  <w:style w:type="paragraph" w:styleId="Kjene">
    <w:name w:val="footer"/>
    <w:basedOn w:val="Parasts"/>
    <w:link w:val="KjeneRakstz"/>
    <w:uiPriority w:val="99"/>
    <w:unhideWhenUsed/>
    <w:rsid w:val="00464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4AA1"/>
  </w:style>
  <w:style w:type="character" w:styleId="Hipersaite">
    <w:name w:val="Hyperlink"/>
    <w:basedOn w:val="Noklusjumarindkopasfonts"/>
    <w:uiPriority w:val="99"/>
    <w:unhideWhenUsed/>
    <w:rsid w:val="0042011C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680584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0F09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F09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F09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F09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F0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iga.lv/lv/saistoso-noteikumu-projek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3933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Reinika</dc:creator>
  <cp:lastModifiedBy>Kirils Mihejevs</cp:lastModifiedBy>
  <cp:revision>3</cp:revision>
  <cp:lastPrinted>2025-04-22T10:55:00Z</cp:lastPrinted>
  <dcterms:created xsi:type="dcterms:W3CDTF">2025-04-23T08:55:00Z</dcterms:created>
  <dcterms:modified xsi:type="dcterms:W3CDTF">2025-04-23T08:55:00Z</dcterms:modified>
</cp:coreProperties>
</file>