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E874C" w14:textId="7A700187" w:rsidR="00B77C3B" w:rsidRDefault="00B77C3B" w:rsidP="00B77C3B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3.pielikums</w:t>
      </w:r>
    </w:p>
    <w:p w14:paraId="43A94BD2" w14:textId="77777777" w:rsidR="00B77C3B" w:rsidRDefault="00B77C3B" w:rsidP="00B77C3B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Ministru kabineta</w:t>
      </w:r>
    </w:p>
    <w:p w14:paraId="50CE8FA1" w14:textId="77777777" w:rsidR="00B77C3B" w:rsidRDefault="00B77C3B" w:rsidP="00B77C3B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2016.gada 12.aprīļa noteikumiem Nr.225</w:t>
      </w:r>
    </w:p>
    <w:p w14:paraId="1F68F340" w14:textId="77777777" w:rsidR="00B77C3B" w:rsidRDefault="00B77C3B" w:rsidP="00B77C3B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“Kārtība, kādā tiek publiskota informācija </w:t>
      </w:r>
    </w:p>
    <w:p w14:paraId="184896F9" w14:textId="77777777" w:rsidR="00B77C3B" w:rsidRDefault="00B77C3B" w:rsidP="00B77C3B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par amatpersonu (darbinieku) atlīdzības</w:t>
      </w:r>
    </w:p>
    <w:p w14:paraId="33D49531" w14:textId="77777777" w:rsidR="00B77C3B" w:rsidRDefault="00B77C3B" w:rsidP="00B77C3B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noteikšanas kritērijiem un darba samaksas </w:t>
      </w:r>
    </w:p>
    <w:p w14:paraId="6A28DF90" w14:textId="77777777" w:rsidR="00932C1C" w:rsidRDefault="00B77C3B" w:rsidP="00B77C3B">
      <w:pPr>
        <w:jc w:val="right"/>
        <w:rPr>
          <w:sz w:val="18"/>
          <w:szCs w:val="18"/>
        </w:rPr>
      </w:pPr>
      <w:r>
        <w:rPr>
          <w:rFonts w:ascii="Times New Roman" w:hAnsi="Times New Roman" w:cs="Times New Roman"/>
          <w:kern w:val="0"/>
          <w:sz w:val="16"/>
          <w:szCs w:val="16"/>
          <w14:ligatures w14:val="none"/>
        </w:rPr>
        <w:t>apmēru sadalījumā pa amatu grupām</w:t>
      </w:r>
      <w:r w:rsidR="005E2728" w:rsidRPr="005E2728">
        <w:rPr>
          <w:sz w:val="18"/>
          <w:szCs w:val="18"/>
        </w:rPr>
        <w:t xml:space="preserve">   </w:t>
      </w:r>
    </w:p>
    <w:p w14:paraId="5B02C5CD" w14:textId="009A077A" w:rsidR="000C0C10" w:rsidRPr="00932C1C" w:rsidRDefault="00932C1C" w:rsidP="003575A5">
      <w:pPr>
        <w:jc w:val="center"/>
        <w:rPr>
          <w:rFonts w:ascii="Times New Roman" w:hAnsi="Times New Roman" w:cs="Times New Roman"/>
          <w:sz w:val="24"/>
          <w:szCs w:val="24"/>
        </w:rPr>
      </w:pPr>
      <w:r w:rsidRPr="00932C1C">
        <w:rPr>
          <w:rFonts w:ascii="Times New Roman" w:hAnsi="Times New Roman" w:cs="Times New Roman"/>
          <w:sz w:val="24"/>
          <w:szCs w:val="24"/>
        </w:rPr>
        <w:t xml:space="preserve">Informācija </w:t>
      </w:r>
      <w:r>
        <w:rPr>
          <w:rFonts w:ascii="Times New Roman" w:hAnsi="Times New Roman" w:cs="Times New Roman"/>
          <w:sz w:val="24"/>
          <w:szCs w:val="24"/>
        </w:rPr>
        <w:t xml:space="preserve">par piemaksām, prēmijām, naudas balvām, sociālajām garantijām un to noteikšanas kritērijiem Rīgas </w:t>
      </w:r>
      <w:proofErr w:type="spellStart"/>
      <w:r>
        <w:rPr>
          <w:rFonts w:ascii="Times New Roman" w:hAnsi="Times New Roman" w:cs="Times New Roman"/>
          <w:sz w:val="24"/>
          <w:szCs w:val="24"/>
        </w:rPr>
        <w:t>valstspilsētas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pašvaldības aģentūrā </w:t>
      </w:r>
      <w:r w:rsidR="003575A5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</w:rPr>
        <w:t>“Rīgas pieminekļu aģentūra”</w:t>
      </w:r>
    </w:p>
    <w:p w14:paraId="4290E0E2" w14:textId="556255CE" w:rsidR="00257BEB" w:rsidRDefault="00257BEB" w:rsidP="00B77C3B">
      <w:pPr>
        <w:jc w:val="center"/>
        <w:rPr>
          <w:rFonts w:ascii="Times New Roman" w:hAnsi="Times New Roman" w:cs="Times New Roman"/>
          <w:sz w:val="24"/>
          <w:szCs w:val="24"/>
        </w:rPr>
      </w:pPr>
      <w:r w:rsidRPr="00257BEB">
        <w:rPr>
          <w:rFonts w:ascii="Times New Roman" w:hAnsi="Times New Roman" w:cs="Times New Roman"/>
          <w:sz w:val="24"/>
          <w:szCs w:val="24"/>
        </w:rPr>
        <w:t xml:space="preserve">Informācija par </w:t>
      </w:r>
      <w:r w:rsidR="007D0888">
        <w:rPr>
          <w:rFonts w:ascii="Times New Roman" w:hAnsi="Times New Roman" w:cs="Times New Roman"/>
          <w:sz w:val="24"/>
          <w:szCs w:val="24"/>
        </w:rPr>
        <w:t>piemaksām, prēmijām</w:t>
      </w:r>
      <w:r w:rsidR="00932C1C">
        <w:rPr>
          <w:rFonts w:ascii="Times New Roman" w:hAnsi="Times New Roman" w:cs="Times New Roman"/>
          <w:sz w:val="24"/>
          <w:szCs w:val="24"/>
        </w:rPr>
        <w:t xml:space="preserve"> un</w:t>
      </w:r>
      <w:r w:rsidR="007D0888">
        <w:rPr>
          <w:rFonts w:ascii="Times New Roman" w:hAnsi="Times New Roman" w:cs="Times New Roman"/>
          <w:sz w:val="24"/>
          <w:szCs w:val="24"/>
        </w:rPr>
        <w:t xml:space="preserve"> naudas balvām</w:t>
      </w:r>
    </w:p>
    <w:p w14:paraId="087521D6" w14:textId="79762E70" w:rsidR="00B77C3B" w:rsidRPr="00B77C3B" w:rsidRDefault="00B77C3B" w:rsidP="00B77C3B">
      <w:pPr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</w:t>
      </w:r>
      <w:r w:rsidR="00932C1C">
        <w:rPr>
          <w:rFonts w:ascii="Times New Roman" w:hAnsi="Times New Roman" w:cs="Times New Roman"/>
          <w:sz w:val="16"/>
          <w:szCs w:val="16"/>
        </w:rPr>
        <w:t>1</w:t>
      </w:r>
      <w:r w:rsidRPr="00B77C3B">
        <w:rPr>
          <w:rFonts w:ascii="Times New Roman" w:hAnsi="Times New Roman" w:cs="Times New Roman"/>
          <w:sz w:val="16"/>
          <w:szCs w:val="16"/>
        </w:rPr>
        <w:t>.tabula</w:t>
      </w:r>
    </w:p>
    <w:tbl>
      <w:tblPr>
        <w:tblW w:w="8532" w:type="dxa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6"/>
        <w:gridCol w:w="2340"/>
        <w:gridCol w:w="2652"/>
        <w:gridCol w:w="2724"/>
      </w:tblGrid>
      <w:tr w:rsidR="00257BEB" w14:paraId="6D013CDF" w14:textId="66D124CF" w:rsidTr="00FE323D">
        <w:trPr>
          <w:trHeight w:val="588"/>
        </w:trPr>
        <w:tc>
          <w:tcPr>
            <w:tcW w:w="816" w:type="dxa"/>
          </w:tcPr>
          <w:p w14:paraId="2D353364" w14:textId="071E68C7" w:rsidR="00257BEB" w:rsidRPr="00257BEB" w:rsidRDefault="00257BEB" w:rsidP="00257B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57BEB">
              <w:rPr>
                <w:rFonts w:ascii="Times New Roman" w:hAnsi="Times New Roman" w:cs="Times New Roman"/>
                <w:sz w:val="18"/>
                <w:szCs w:val="18"/>
              </w:rPr>
              <w:t>N.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p.k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340" w:type="dxa"/>
          </w:tcPr>
          <w:p w14:paraId="66B0663E" w14:textId="1B6CA6BE" w:rsidR="00257BEB" w:rsidRPr="00257BEB" w:rsidRDefault="007D0888" w:rsidP="00257B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Piemaksas vai prēmijas veids, naudas balva</w:t>
            </w:r>
          </w:p>
        </w:tc>
        <w:tc>
          <w:tcPr>
            <w:tcW w:w="2652" w:type="dxa"/>
          </w:tcPr>
          <w:p w14:paraId="15D57B17" w14:textId="7673EAAB" w:rsidR="000C0C10" w:rsidRPr="00257BEB" w:rsidRDefault="007D0888" w:rsidP="000C0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Piemaksas vai prēmijas veids, naudas balvas apmērs</w:t>
            </w:r>
            <w:r w:rsidR="000C0C10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(</w:t>
            </w:r>
            <w:proofErr w:type="spellStart"/>
            <w:r w:rsidR="000C0C10" w:rsidRPr="000C0C1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euro</w:t>
            </w:r>
            <w:proofErr w:type="spellEnd"/>
            <w:r w:rsidR="000C0C10">
              <w:rPr>
                <w:rFonts w:ascii="Times New Roman" w:hAnsi="Times New Roman" w:cs="Times New Roman"/>
                <w:sz w:val="18"/>
                <w:szCs w:val="18"/>
              </w:rPr>
              <w:t xml:space="preserve"> vai %)</w:t>
            </w:r>
          </w:p>
        </w:tc>
        <w:tc>
          <w:tcPr>
            <w:tcW w:w="2724" w:type="dxa"/>
          </w:tcPr>
          <w:p w14:paraId="007E077F" w14:textId="78FCBD18" w:rsidR="00257BEB" w:rsidRPr="00257BEB" w:rsidRDefault="00257BEB" w:rsidP="00257B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Piešķiršanas pamatojums vai kritēriji</w:t>
            </w:r>
          </w:p>
        </w:tc>
      </w:tr>
      <w:tr w:rsidR="00FE323D" w14:paraId="4B210ABE" w14:textId="77777777" w:rsidTr="00FE323D">
        <w:trPr>
          <w:trHeight w:val="141"/>
        </w:trPr>
        <w:tc>
          <w:tcPr>
            <w:tcW w:w="816" w:type="dxa"/>
          </w:tcPr>
          <w:p w14:paraId="043D82C5" w14:textId="4DA5F47D" w:rsidR="00FE323D" w:rsidRPr="00257BEB" w:rsidRDefault="00FE323D" w:rsidP="00257B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340" w:type="dxa"/>
          </w:tcPr>
          <w:p w14:paraId="46CE6435" w14:textId="72A1349A" w:rsidR="00FE323D" w:rsidRDefault="00FE323D" w:rsidP="00257B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652" w:type="dxa"/>
          </w:tcPr>
          <w:p w14:paraId="76E71845" w14:textId="6B51ED47" w:rsidR="00FE323D" w:rsidRDefault="00FE323D" w:rsidP="00257B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724" w:type="dxa"/>
          </w:tcPr>
          <w:p w14:paraId="1A9B1929" w14:textId="4108A312" w:rsidR="00FE323D" w:rsidRDefault="00FE323D" w:rsidP="00257B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257BEB" w14:paraId="2111550E" w14:textId="77777777" w:rsidTr="00257BEB">
        <w:trPr>
          <w:trHeight w:val="228"/>
        </w:trPr>
        <w:tc>
          <w:tcPr>
            <w:tcW w:w="816" w:type="dxa"/>
          </w:tcPr>
          <w:p w14:paraId="524E069A" w14:textId="53B36A9B" w:rsidR="00257BEB" w:rsidRPr="00257BEB" w:rsidRDefault="00257BEB" w:rsidP="00257B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2340" w:type="dxa"/>
          </w:tcPr>
          <w:p w14:paraId="16602A06" w14:textId="0D104F19" w:rsidR="00257BEB" w:rsidRDefault="007D0888" w:rsidP="00257B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Prēmija</w:t>
            </w:r>
            <w:r w:rsidR="00257BE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652" w:type="dxa"/>
          </w:tcPr>
          <w:p w14:paraId="0238E720" w14:textId="2D0FAEB0" w:rsidR="00257BEB" w:rsidRDefault="007D0888" w:rsidP="00257B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Vienu reizi gadā </w:t>
            </w:r>
            <w:r w:rsidR="00516694">
              <w:rPr>
                <w:rFonts w:ascii="Times New Roman" w:hAnsi="Times New Roman" w:cs="Times New Roman"/>
                <w:sz w:val="18"/>
                <w:szCs w:val="18"/>
              </w:rPr>
              <w:t xml:space="preserve">līdz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75</w:t>
            </w:r>
            <w:r w:rsidR="00257BEB">
              <w:rPr>
                <w:rFonts w:ascii="Times New Roman" w:hAnsi="Times New Roman" w:cs="Times New Roman"/>
                <w:sz w:val="18"/>
                <w:szCs w:val="18"/>
              </w:rPr>
              <w:t>% no amatpersonai (darbiniekam) noteiktās mēnešalgas</w:t>
            </w:r>
            <w:r w:rsidR="00B1450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257BE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724" w:type="dxa"/>
          </w:tcPr>
          <w:p w14:paraId="5C0759EA" w14:textId="5BE62258" w:rsidR="007D0888" w:rsidRDefault="00257BEB" w:rsidP="007D08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1.Valsts un pašvaldību institūciju amatpersonu un darbinieku atlīdzības likums.</w:t>
            </w:r>
            <w:r w:rsidR="007D0888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2.Rīgas domes 29.06.2022. nolikums Nr.189 “Rīgas </w:t>
            </w:r>
            <w:proofErr w:type="spellStart"/>
            <w:r w:rsidR="007D0888">
              <w:rPr>
                <w:rFonts w:ascii="Times New Roman" w:hAnsi="Times New Roman" w:cs="Times New Roman"/>
                <w:sz w:val="18"/>
                <w:szCs w:val="18"/>
              </w:rPr>
              <w:t>valstspilsētas</w:t>
            </w:r>
            <w:proofErr w:type="spellEnd"/>
            <w:r w:rsidR="007D0888">
              <w:rPr>
                <w:rFonts w:ascii="Times New Roman" w:hAnsi="Times New Roman" w:cs="Times New Roman"/>
                <w:sz w:val="18"/>
                <w:szCs w:val="18"/>
              </w:rPr>
              <w:t xml:space="preserve"> pašvaldības darbinieku darba samaksas nolikums”.                          3.Rīgas domes saistošie noteikumi par Rīgas </w:t>
            </w:r>
            <w:proofErr w:type="spellStart"/>
            <w:r w:rsidR="007D0888">
              <w:rPr>
                <w:rFonts w:ascii="Times New Roman" w:hAnsi="Times New Roman" w:cs="Times New Roman"/>
                <w:sz w:val="18"/>
                <w:szCs w:val="18"/>
              </w:rPr>
              <w:t>valstspilsētas</w:t>
            </w:r>
            <w:proofErr w:type="spellEnd"/>
            <w:r w:rsidR="007D0888">
              <w:rPr>
                <w:rFonts w:ascii="Times New Roman" w:hAnsi="Times New Roman" w:cs="Times New Roman"/>
                <w:sz w:val="18"/>
                <w:szCs w:val="18"/>
              </w:rPr>
              <w:t xml:space="preserve"> pašvaldības budžetu attiecīgajam gadam.                                    </w:t>
            </w:r>
          </w:p>
        </w:tc>
      </w:tr>
      <w:tr w:rsidR="00257BEB" w14:paraId="24B26BDF" w14:textId="77777777" w:rsidTr="00AA2998">
        <w:trPr>
          <w:trHeight w:val="2694"/>
        </w:trPr>
        <w:tc>
          <w:tcPr>
            <w:tcW w:w="816" w:type="dxa"/>
          </w:tcPr>
          <w:p w14:paraId="750035FB" w14:textId="32A2C7FD" w:rsidR="00257BEB" w:rsidRDefault="00257BEB" w:rsidP="00257B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2340" w:type="dxa"/>
          </w:tcPr>
          <w:p w14:paraId="2423DD1D" w14:textId="2CE56477" w:rsidR="00257BEB" w:rsidRDefault="007D0888" w:rsidP="00257B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Naudas balva</w:t>
            </w:r>
          </w:p>
        </w:tc>
        <w:tc>
          <w:tcPr>
            <w:tcW w:w="2652" w:type="dxa"/>
          </w:tcPr>
          <w:p w14:paraId="0EE66FFD" w14:textId="44448723" w:rsidR="00257BEB" w:rsidRDefault="007D0888" w:rsidP="00257B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Kalendāra gada laikā nepārsniedzot amatpersonai (darbiniekam) noteiktās mēnešalgas apmēru</w:t>
            </w:r>
            <w:r w:rsidR="00B1450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724" w:type="dxa"/>
          </w:tcPr>
          <w:p w14:paraId="127DE0EC" w14:textId="63ECF058" w:rsidR="001F576D" w:rsidRDefault="007D0888" w:rsidP="001F57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="001F576D">
              <w:rPr>
                <w:rFonts w:ascii="Times New Roman" w:hAnsi="Times New Roman" w:cs="Times New Roman"/>
                <w:sz w:val="18"/>
                <w:szCs w:val="18"/>
              </w:rPr>
              <w:t>Valsts un pašvaldību institūciju amatpersonu un darbinieku atlīdzības likums.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2.Rīgas domes 29.06.2022. nolikums Nr.189 “Rīgas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valstspilsētas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pašvaldības darbinieku darba samaksas nolikums”.                          3.Rīgas domes saistošie noteikumi par Rīgas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valstspilsētas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pašvaldības budžetu attiecīgajam gadam.                               </w:t>
            </w:r>
          </w:p>
          <w:p w14:paraId="3962F735" w14:textId="77777777" w:rsidR="00257BEB" w:rsidRDefault="00257BEB" w:rsidP="00257B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576D" w14:paraId="1771C38F" w14:textId="77777777" w:rsidTr="00CC5B4E">
        <w:trPr>
          <w:trHeight w:val="1800"/>
        </w:trPr>
        <w:tc>
          <w:tcPr>
            <w:tcW w:w="816" w:type="dxa"/>
          </w:tcPr>
          <w:p w14:paraId="7BBB5A84" w14:textId="6AE5D16E" w:rsidR="001F576D" w:rsidRDefault="001F576D" w:rsidP="00257B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2340" w:type="dxa"/>
          </w:tcPr>
          <w:p w14:paraId="5D8C785B" w14:textId="0A6F6382" w:rsidR="001F576D" w:rsidRDefault="00136C18" w:rsidP="00257B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Piemaksa par papildu darbu -prombūtnē esošas amatpersonas (darbinieka) aizvietošana vai papildus amata aprakstā noteiktajiem pienākumiem citu pienākumu pildīšana</w:t>
            </w:r>
          </w:p>
        </w:tc>
        <w:tc>
          <w:tcPr>
            <w:tcW w:w="2652" w:type="dxa"/>
          </w:tcPr>
          <w:p w14:paraId="70F22561" w14:textId="7B0685B6" w:rsidR="001F576D" w:rsidRDefault="00136C18" w:rsidP="00257B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30% apmērā no amatpersonai (darbiniekam) noteiktās mēnešalgas proporcionāli nostrādātajam laikam</w:t>
            </w:r>
            <w:r w:rsidR="00B1450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724" w:type="dxa"/>
          </w:tcPr>
          <w:p w14:paraId="1490F0C7" w14:textId="393DF492" w:rsidR="001F576D" w:rsidRDefault="001F576D" w:rsidP="00136C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1.Valsts un pašvaldību institūciju amatpersonu un darbinieku atlīdzības likums.</w:t>
            </w:r>
            <w:r w:rsidR="00136C18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</w:t>
            </w:r>
          </w:p>
        </w:tc>
      </w:tr>
      <w:tr w:rsidR="001F576D" w14:paraId="0637405D" w14:textId="77777777" w:rsidTr="00257BEB">
        <w:trPr>
          <w:trHeight w:val="228"/>
        </w:trPr>
        <w:tc>
          <w:tcPr>
            <w:tcW w:w="816" w:type="dxa"/>
          </w:tcPr>
          <w:p w14:paraId="0B51273D" w14:textId="53FBEE7C" w:rsidR="001F576D" w:rsidRDefault="001F576D" w:rsidP="00257B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2340" w:type="dxa"/>
          </w:tcPr>
          <w:p w14:paraId="435AFC91" w14:textId="2C7DF58E" w:rsidR="001F576D" w:rsidRDefault="00050FDC" w:rsidP="00050F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Nakts darbs</w:t>
            </w:r>
          </w:p>
        </w:tc>
        <w:tc>
          <w:tcPr>
            <w:tcW w:w="2652" w:type="dxa"/>
          </w:tcPr>
          <w:p w14:paraId="1498235D" w14:textId="60AA297D" w:rsidR="001F576D" w:rsidRDefault="00050FDC" w:rsidP="00257B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Piemaksa 50% apmērā no amatpersonai (darbiniekam) noteiktās stundas algas likmes</w:t>
            </w:r>
            <w:r w:rsidR="00B1450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724" w:type="dxa"/>
          </w:tcPr>
          <w:p w14:paraId="2B9174B6" w14:textId="0F1A01E4" w:rsidR="001F576D" w:rsidRDefault="001F576D" w:rsidP="00E32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1.Valsts un pašvaldību institūciju amatpersonu un darbinieku atlīdzības likums.</w:t>
            </w:r>
            <w:r w:rsidR="00050FDC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2.Darba likums.</w:t>
            </w:r>
          </w:p>
        </w:tc>
      </w:tr>
      <w:tr w:rsidR="001F576D" w14:paraId="7EFD1D75" w14:textId="77777777" w:rsidTr="00257BEB">
        <w:trPr>
          <w:trHeight w:val="228"/>
        </w:trPr>
        <w:tc>
          <w:tcPr>
            <w:tcW w:w="816" w:type="dxa"/>
          </w:tcPr>
          <w:p w14:paraId="1D5B639A" w14:textId="226341FC" w:rsidR="001F576D" w:rsidRDefault="001F576D" w:rsidP="00257B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2340" w:type="dxa"/>
          </w:tcPr>
          <w:p w14:paraId="5608C7F0" w14:textId="27872EC8" w:rsidR="001F576D" w:rsidRDefault="00050FDC" w:rsidP="00257B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Virsstundu darbs</w:t>
            </w:r>
          </w:p>
        </w:tc>
        <w:tc>
          <w:tcPr>
            <w:tcW w:w="2652" w:type="dxa"/>
          </w:tcPr>
          <w:p w14:paraId="29EB167C" w14:textId="3D221C73" w:rsidR="001F576D" w:rsidRPr="001F576D" w:rsidRDefault="00136C18" w:rsidP="00257B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Piemaksa </w:t>
            </w:r>
            <w:r w:rsidR="00050FDC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0% apmērā no amatpersonai (darbiniekam) noteiktās stundas algas likmes vai apmaksāta atpūta citā laikā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atbilstoši nostrādāto virsstundu skaitam</w:t>
            </w:r>
            <w:r w:rsidR="00B1450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724" w:type="dxa"/>
          </w:tcPr>
          <w:p w14:paraId="3ACA53C9" w14:textId="58A2AD5A" w:rsidR="001F576D" w:rsidRDefault="00136C18" w:rsidP="00136C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1.Valsts un pašvaldību institūciju amatpersonu un darbinieku atlīdzības likums.                  2.Darba likums.</w:t>
            </w:r>
          </w:p>
        </w:tc>
      </w:tr>
      <w:tr w:rsidR="00050FDC" w14:paraId="1AC092E0" w14:textId="77777777" w:rsidTr="00257BEB">
        <w:trPr>
          <w:trHeight w:val="228"/>
        </w:trPr>
        <w:tc>
          <w:tcPr>
            <w:tcW w:w="816" w:type="dxa"/>
          </w:tcPr>
          <w:p w14:paraId="18982FF2" w14:textId="760D9BF9" w:rsidR="00050FDC" w:rsidRDefault="00050FDC" w:rsidP="00257B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6.</w:t>
            </w:r>
          </w:p>
        </w:tc>
        <w:tc>
          <w:tcPr>
            <w:tcW w:w="2340" w:type="dxa"/>
          </w:tcPr>
          <w:p w14:paraId="21740B97" w14:textId="3B903242" w:rsidR="00050FDC" w:rsidRDefault="00050FDC" w:rsidP="00257B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Darbs svētku dienā</w:t>
            </w:r>
          </w:p>
        </w:tc>
        <w:tc>
          <w:tcPr>
            <w:tcW w:w="2652" w:type="dxa"/>
          </w:tcPr>
          <w:p w14:paraId="7BED6DED" w14:textId="560FF475" w:rsidR="00050FDC" w:rsidRDefault="00050FDC" w:rsidP="00257B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Piemaksa 100% apmērā no amatpersonai (darbiniekam) noteiktās stundas algas likmes vai līdzvērtīgs atpūtas laiks</w:t>
            </w:r>
            <w:r w:rsidR="00B1450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724" w:type="dxa"/>
          </w:tcPr>
          <w:p w14:paraId="5E9F27A3" w14:textId="1F02E19E" w:rsidR="00050FDC" w:rsidRDefault="00050FDC" w:rsidP="00136C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1.Valsts un pašvaldību institūciju amatpersonu un darbinieku atlīdzības likums.                  2.Darba likums.</w:t>
            </w:r>
          </w:p>
        </w:tc>
      </w:tr>
    </w:tbl>
    <w:p w14:paraId="2CABB173" w14:textId="77777777" w:rsidR="00257BEB" w:rsidRDefault="00257BEB" w:rsidP="00257BE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AE84FE7" w14:textId="77777777" w:rsidR="00257BEB" w:rsidRPr="00257BEB" w:rsidRDefault="00257BEB" w:rsidP="00257BEB">
      <w:pPr>
        <w:rPr>
          <w:rFonts w:ascii="Times New Roman" w:hAnsi="Times New Roman" w:cs="Times New Roman"/>
          <w:sz w:val="24"/>
          <w:szCs w:val="24"/>
        </w:rPr>
      </w:pPr>
    </w:p>
    <w:sectPr w:rsidR="00257BEB" w:rsidRPr="00257BEB" w:rsidSect="00B77C3B">
      <w:pgSz w:w="11906" w:h="16838"/>
      <w:pgMar w:top="709" w:right="1274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BEB"/>
    <w:rsid w:val="00050FDC"/>
    <w:rsid w:val="000C0C10"/>
    <w:rsid w:val="00136C18"/>
    <w:rsid w:val="001F576D"/>
    <w:rsid w:val="00257BEB"/>
    <w:rsid w:val="003575A5"/>
    <w:rsid w:val="003B3D7C"/>
    <w:rsid w:val="00516694"/>
    <w:rsid w:val="005E2728"/>
    <w:rsid w:val="006C11A4"/>
    <w:rsid w:val="007D0888"/>
    <w:rsid w:val="007D1DF0"/>
    <w:rsid w:val="00932C1C"/>
    <w:rsid w:val="00AA2998"/>
    <w:rsid w:val="00B14500"/>
    <w:rsid w:val="00B77C3B"/>
    <w:rsid w:val="00CC5B4E"/>
    <w:rsid w:val="00E32E18"/>
    <w:rsid w:val="00FD223C"/>
    <w:rsid w:val="00FE3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E235D68"/>
  <w15:chartTrackingRefBased/>
  <w15:docId w15:val="{CAE5EBF7-EABC-45F8-812E-719A346DF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149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1876</Words>
  <Characters>1070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Reča</dc:creator>
  <cp:keywords/>
  <dc:description/>
  <cp:lastModifiedBy>Iveta Reča</cp:lastModifiedBy>
  <cp:revision>19</cp:revision>
  <dcterms:created xsi:type="dcterms:W3CDTF">2024-05-15T11:40:00Z</dcterms:created>
  <dcterms:modified xsi:type="dcterms:W3CDTF">2024-05-16T07:34:00Z</dcterms:modified>
</cp:coreProperties>
</file>